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5E5D8" w14:textId="5730E2FA" w:rsidR="00056602" w:rsidRDefault="00056602" w:rsidP="009E2214">
      <w:pPr>
        <w:jc w:val="center"/>
        <w:outlineLvl w:val="0"/>
        <w:rPr>
          <w:b/>
          <w:bCs/>
        </w:rPr>
      </w:pPr>
      <w:r>
        <w:rPr>
          <w:b/>
          <w:bCs/>
        </w:rPr>
        <w:t>EPARTMENT OF HOMELAND SECURITY</w:t>
      </w:r>
    </w:p>
    <w:p w14:paraId="6C1F403F" w14:textId="77777777" w:rsidR="00056602" w:rsidRPr="00D30306" w:rsidRDefault="00056602" w:rsidP="00A945DB">
      <w:pPr>
        <w:tabs>
          <w:tab w:val="left" w:pos="1800"/>
        </w:tabs>
        <w:ind w:left="1800" w:hanging="1800"/>
      </w:pPr>
      <w:r>
        <w:rPr>
          <w:b/>
          <w:bCs/>
        </w:rPr>
        <w:t>CFDA 97.036</w:t>
      </w:r>
      <w:r>
        <w:rPr>
          <w:b/>
          <w:bCs/>
        </w:rPr>
        <w:tab/>
      </w:r>
      <w:r w:rsidRPr="00D30306">
        <w:rPr>
          <w:b/>
          <w:bCs/>
        </w:rPr>
        <w:t>DISASTER GRANTS</w:t>
      </w:r>
      <w:r>
        <w:rPr>
          <w:b/>
          <w:bCs/>
        </w:rPr>
        <w:t xml:space="preserve"> – PUBLIC ASSISTANCE</w:t>
      </w:r>
      <w:r w:rsidRPr="00D30306">
        <w:rPr>
          <w:b/>
          <w:bCs/>
        </w:rPr>
        <w:t xml:space="preserve"> (Presidentially Declared Disasters)</w:t>
      </w:r>
      <w:r w:rsidRPr="00D30306" w:rsidDel="00A945DB">
        <w:rPr>
          <w:b/>
          <w:bCs/>
        </w:rPr>
        <w:t xml:space="preserve"> </w:t>
      </w:r>
    </w:p>
    <w:p w14:paraId="05F0943F" w14:textId="77777777" w:rsidR="00056602" w:rsidRDefault="00056602" w:rsidP="009E2214">
      <w:pPr>
        <w:outlineLvl w:val="0"/>
      </w:pPr>
      <w:r>
        <w:rPr>
          <w:b/>
          <w:bCs/>
        </w:rPr>
        <w:t>I.</w:t>
      </w:r>
      <w:r>
        <w:rPr>
          <w:b/>
          <w:bCs/>
        </w:rPr>
        <w:tab/>
        <w:t>PROGRAM OBJECTIVES</w:t>
      </w:r>
    </w:p>
    <w:p w14:paraId="7973E2F7" w14:textId="77777777" w:rsidR="00056602" w:rsidRDefault="00056602">
      <w:r>
        <w:t xml:space="preserve">The objective is to provide assistance to </w:t>
      </w:r>
      <w:r w:rsidR="00A44F4C">
        <w:t xml:space="preserve">State, </w:t>
      </w:r>
      <w:r w:rsidR="00277868">
        <w:t>Indian t</w:t>
      </w:r>
      <w:r>
        <w:t>ribal</w:t>
      </w:r>
      <w:r w:rsidR="00BC0CB9">
        <w:t>,</w:t>
      </w:r>
      <w:r>
        <w:t xml:space="preserve"> and local governments, and certain types of private nonprofit organizations under the Public Assistance (PA) program.</w:t>
      </w:r>
    </w:p>
    <w:p w14:paraId="6DD712C4" w14:textId="77777777" w:rsidR="00056602" w:rsidRDefault="00056602" w:rsidP="009E2214">
      <w:pPr>
        <w:outlineLvl w:val="0"/>
      </w:pPr>
      <w:r>
        <w:rPr>
          <w:b/>
          <w:bCs/>
        </w:rPr>
        <w:t>II.</w:t>
      </w:r>
      <w:r>
        <w:rPr>
          <w:b/>
          <w:bCs/>
        </w:rPr>
        <w:tab/>
        <w:t>PROGRAM PROCEDURES</w:t>
      </w:r>
    </w:p>
    <w:p w14:paraId="6EF7DEEA" w14:textId="35EF6217" w:rsidR="00056602" w:rsidRDefault="00056602">
      <w:r>
        <w:t>Following a Presidential declaration of a major disaster or an emergency, the Federal Emergency Management Agency (FEMA), Department of Homeland Security (DHS)</w:t>
      </w:r>
      <w:r w:rsidR="00A44F4C">
        <w:t>, awards grants to assist State</w:t>
      </w:r>
      <w:r>
        <w:t xml:space="preserve"> and local governments and certain private nonprofit (PNP) entities with the response to and recovery from disasters.  Specifically, the </w:t>
      </w:r>
      <w:r w:rsidR="00347D8A">
        <w:t xml:space="preserve">PA </w:t>
      </w:r>
      <w:r>
        <w:t xml:space="preserve">program </w:t>
      </w:r>
      <w:r w:rsidR="00347D8A">
        <w:t xml:space="preserve">provides </w:t>
      </w:r>
      <w:r>
        <w:t xml:space="preserve">assistance for debris removal, emergency protective measures, and permanent restoration of infrastructure.  The PA program is based on a partnership </w:t>
      </w:r>
      <w:r w:rsidR="00277868">
        <w:t xml:space="preserve">with the </w:t>
      </w:r>
      <w:r w:rsidR="007F3F59">
        <w:t>g</w:t>
      </w:r>
      <w:r w:rsidR="00277868">
        <w:t>rantee (State or t</w:t>
      </w:r>
      <w:r w:rsidR="00347D8A">
        <w:t>ribal government) and FEMA</w:t>
      </w:r>
      <w:r w:rsidR="00691C69">
        <w:t xml:space="preserve"> </w:t>
      </w:r>
      <w:r>
        <w:t>and local officials.  FEMA is responsible for managing the program, approving grants, and providing technical assistance to the State</w:t>
      </w:r>
      <w:r w:rsidR="00277868">
        <w:t xml:space="preserve"> (or Indian t</w:t>
      </w:r>
      <w:r w:rsidR="00225049">
        <w:t>ribal government)</w:t>
      </w:r>
      <w:r>
        <w:t xml:space="preserve"> and applicants (subgrantees).  The State, in most cases, acts as the grantee for the PA program and is responsible for</w:t>
      </w:r>
      <w:r w:rsidRPr="003C1269">
        <w:t xml:space="preserve"> </w:t>
      </w:r>
      <w:r>
        <w:t xml:space="preserve">providing technical advice and assistance to eligible subgrantees, providing State support for damage survey activities, ensuring that all potential applicants are aware of </w:t>
      </w:r>
      <w:r w:rsidR="00B26A68">
        <w:t xml:space="preserve">funding </w:t>
      </w:r>
      <w:r>
        <w:t xml:space="preserve">assistance available, and submitting documents necessary for grant awards (44 CFR sections 206.200 through 206.349).  </w:t>
      </w:r>
      <w:r w:rsidR="00920362">
        <w:t xml:space="preserve">An </w:t>
      </w:r>
      <w:r w:rsidR="00A44F4C">
        <w:t>Indian t</w:t>
      </w:r>
      <w:r>
        <w:t>rib</w:t>
      </w:r>
      <w:r w:rsidR="00225049">
        <w:t>al government</w:t>
      </w:r>
      <w:r>
        <w:t xml:space="preserve"> may </w:t>
      </w:r>
      <w:r w:rsidR="00225049">
        <w:t xml:space="preserve">also </w:t>
      </w:r>
      <w:r>
        <w:t>be a grantee.  FEMA, the State</w:t>
      </w:r>
      <w:r w:rsidR="00277868">
        <w:t xml:space="preserve"> (or Indian t</w:t>
      </w:r>
      <w:r w:rsidR="00225049">
        <w:t>ribal government)</w:t>
      </w:r>
      <w:r>
        <w:t xml:space="preserve"> and the applicant (subgrantee) are all responsible for grants awarded under the PA program.</w:t>
      </w:r>
    </w:p>
    <w:p w14:paraId="362F9EA2" w14:textId="77777777" w:rsidR="00056602" w:rsidRDefault="00056602">
      <w:r>
        <w:t>For purposes of the PA program, the following terms will be used:</w:t>
      </w:r>
    </w:p>
    <w:p w14:paraId="5BE58EC8" w14:textId="77777777" w:rsidR="00056602" w:rsidRDefault="00056602" w:rsidP="009C551C">
      <w:r>
        <w:rPr>
          <w:i/>
          <w:iCs/>
        </w:rPr>
        <w:t>State</w:t>
      </w:r>
      <w:r>
        <w:t xml:space="preserve"> – The State Agency that is defined as the grantee under FEMA regulations and acts as the grant administrator for the program.</w:t>
      </w:r>
    </w:p>
    <w:p w14:paraId="10A37802" w14:textId="77777777" w:rsidR="00B96605" w:rsidRDefault="00B96605" w:rsidP="009C551C">
      <w:pPr>
        <w:autoSpaceDE w:val="0"/>
        <w:autoSpaceDN w:val="0"/>
        <w:adjustRightInd w:val="0"/>
        <w:rPr>
          <w:iCs/>
        </w:rPr>
      </w:pPr>
      <w:r w:rsidRPr="00B26A68">
        <w:rPr>
          <w:i/>
          <w:iCs/>
        </w:rPr>
        <w:t xml:space="preserve">Tribal government </w:t>
      </w:r>
      <w:r>
        <w:rPr>
          <w:i/>
          <w:iCs/>
        </w:rPr>
        <w:t xml:space="preserve">- </w:t>
      </w:r>
      <w:r w:rsidRPr="00B26A68">
        <w:rPr>
          <w:iCs/>
        </w:rPr>
        <w:t>Any federally recognized governing body</w:t>
      </w:r>
      <w:r w:rsidR="00277868">
        <w:rPr>
          <w:iCs/>
        </w:rPr>
        <w:t xml:space="preserve"> of an Indian or Alaska Native t</w:t>
      </w:r>
      <w:r w:rsidRPr="00B26A68">
        <w:rPr>
          <w:iCs/>
        </w:rPr>
        <w:t>ribe, band, nation, pueblo, village, or community that the Secretary of the Interior ackn</w:t>
      </w:r>
      <w:r w:rsidR="00277868">
        <w:rPr>
          <w:iCs/>
        </w:rPr>
        <w:t>owledges to exist as an Indian t</w:t>
      </w:r>
      <w:r w:rsidRPr="00B26A68">
        <w:rPr>
          <w:iCs/>
        </w:rPr>
        <w:t>ribe under the Federally Recognized Tribe List Act of 1994, 25 U.S.C. 479a. This does not include Alaska Native corporations, the ownership of which is vested in private individuals.</w:t>
      </w:r>
    </w:p>
    <w:p w14:paraId="6A3FA709" w14:textId="77777777" w:rsidR="00056602" w:rsidRDefault="00056602" w:rsidP="009C551C">
      <w:r>
        <w:rPr>
          <w:i/>
          <w:iCs/>
        </w:rPr>
        <w:t>Subgrantee</w:t>
      </w:r>
      <w:r>
        <w:t xml:space="preserve"> – The government or other legal entity to which a subgrant is awarded and which is accountable to the grantee for the use of the funds provided (44 CFR section 206.201(l)).  (For example, in explaining this program, a State Highway Agency is considered a subgrantee of a State Emergency Agency even though both agencies may be included in the same statewide single audit.)</w:t>
      </w:r>
    </w:p>
    <w:p w14:paraId="26F7FAF5" w14:textId="77777777" w:rsidR="00056602" w:rsidRDefault="00056602" w:rsidP="009C551C">
      <w:r>
        <w:rPr>
          <w:i/>
          <w:iCs/>
        </w:rPr>
        <w:t>RA</w:t>
      </w:r>
      <w:r>
        <w:t xml:space="preserve"> – The FEMA Regional Administrator.</w:t>
      </w:r>
    </w:p>
    <w:p w14:paraId="1263580E" w14:textId="77777777" w:rsidR="00056602" w:rsidRDefault="00056602">
      <w:r>
        <w:lastRenderedPageBreak/>
        <w:t>PA program awards are made based upon a Project Worksheet (</w:t>
      </w:r>
      <w:smartTag w:uri="urn:schemas-microsoft-com:office:smarttags" w:element="State">
        <w:r>
          <w:t>PW</w:t>
        </w:r>
      </w:smartTag>
      <w:r>
        <w:t xml:space="preserve">) prepared by a project formulation team.  The project formulation team normally includes a representative of FEMA, the State, and the subgrantee.  The </w:t>
      </w:r>
      <w:smartTag w:uri="urn:schemas-microsoft-com:office:smarttags" w:element="State">
        <w:r>
          <w:t>PW</w:t>
        </w:r>
      </w:smartTag>
      <w:r>
        <w:t xml:space="preserve"> documents the project formulation team’s determination of the eligible scope of work and cost estimate.  The PA program will fund a part of this eligible work in accordance with the FEMA-State Agreement.  Each </w:t>
      </w:r>
      <w:smartTag w:uri="urn:schemas-microsoft-com:office:smarttags" w:element="State">
        <w:r>
          <w:t>PW</w:t>
        </w:r>
      </w:smartTag>
      <w:r>
        <w:t xml:space="preserve"> has a control number and any supplemental </w:t>
      </w:r>
      <w:smartTag w:uri="urn:schemas-microsoft-com:office:smarttags" w:element="State">
        <w:r>
          <w:t>PW</w:t>
        </w:r>
      </w:smartTag>
      <w:r>
        <w:t xml:space="preserve">s will be referenced to the original </w:t>
      </w:r>
      <w:smartTag w:uri="urn:schemas-microsoft-com:office:smarttags" w:element="State">
        <w:r>
          <w:t>PW</w:t>
        </w:r>
      </w:smartTag>
      <w:r>
        <w:t>.</w:t>
      </w:r>
    </w:p>
    <w:p w14:paraId="757EC25B" w14:textId="13A78E3C" w:rsidR="00C60579" w:rsidRDefault="00056602" w:rsidP="00C60579">
      <w:r>
        <w:t>Projects are classified as large or small projects according to the cost of the eligible work for the individual project.  Section 422 of the Robert T. Stafford Disaster Relief and Emergency Assistance Act</w:t>
      </w:r>
      <w:r w:rsidR="00206E43">
        <w:t>, 42, USC 5189 prescribes that small project g</w:t>
      </w:r>
      <w:r>
        <w:t xml:space="preserve">rants under the PA program be adjusted annually to reflect changes in the Consumer Price Index (CPI) for All Urban Consumers, published by the Department of Labor.  Projects with costs that equal or exceed this threshold are large projects; projects that cost less than the threshold are small projects.  The threshold is adjusted each October to reflect changes in the CPI.  </w:t>
      </w:r>
      <w:r w:rsidR="00527812" w:rsidRPr="00527812">
        <w:t>The date the disaster is declared by the President determines the threshold in use for that project.</w:t>
      </w:r>
      <w:r w:rsidR="00527812">
        <w:t xml:space="preserve">  </w:t>
      </w:r>
      <w:r w:rsidR="00C60579">
        <w:t>The following table shows the threshold for fiscal years 2005 through 201</w:t>
      </w:r>
      <w:r w:rsidR="00C3004C">
        <w:t>6</w:t>
      </w:r>
      <w:r w:rsidR="00C60579">
        <w:t>:</w:t>
      </w:r>
    </w:p>
    <w:tbl>
      <w:tblPr>
        <w:tblW w:w="0" w:type="auto"/>
        <w:tblLook w:val="04A0" w:firstRow="1" w:lastRow="0" w:firstColumn="1" w:lastColumn="0" w:noHBand="0" w:noVBand="1"/>
      </w:tblPr>
      <w:tblGrid>
        <w:gridCol w:w="4679"/>
        <w:gridCol w:w="4681"/>
      </w:tblGrid>
      <w:tr w:rsidR="00C60579" w14:paraId="6AF426C8" w14:textId="77777777" w:rsidTr="003D5E8F">
        <w:tc>
          <w:tcPr>
            <w:tcW w:w="4788" w:type="dxa"/>
            <w:shd w:val="clear" w:color="auto" w:fill="auto"/>
          </w:tcPr>
          <w:p w14:paraId="1F19E657" w14:textId="78302A31" w:rsidR="00C60579" w:rsidRPr="004F573D" w:rsidRDefault="00C60579" w:rsidP="003D5E8F">
            <w:pPr>
              <w:spacing w:after="120"/>
              <w:rPr>
                <w:i/>
              </w:rPr>
            </w:pPr>
            <w:r w:rsidRPr="004F573D">
              <w:rPr>
                <w:i/>
              </w:rPr>
              <w:t xml:space="preserve">Threshold </w:t>
            </w:r>
          </w:p>
        </w:tc>
        <w:tc>
          <w:tcPr>
            <w:tcW w:w="4788" w:type="dxa"/>
            <w:shd w:val="clear" w:color="auto" w:fill="auto"/>
          </w:tcPr>
          <w:p w14:paraId="3FA65413" w14:textId="6ACF88FE" w:rsidR="00C60579" w:rsidRPr="004F573D" w:rsidRDefault="00C60579" w:rsidP="003D5E8F">
            <w:pPr>
              <w:spacing w:after="120"/>
              <w:rPr>
                <w:i/>
              </w:rPr>
            </w:pPr>
            <w:r w:rsidRPr="004F573D">
              <w:rPr>
                <w:i/>
              </w:rPr>
              <w:t>Applicable Period</w:t>
            </w:r>
          </w:p>
        </w:tc>
      </w:tr>
      <w:tr w:rsidR="00C60579" w14:paraId="7FD4E1FD" w14:textId="77777777" w:rsidTr="003D5E8F">
        <w:tc>
          <w:tcPr>
            <w:tcW w:w="4788" w:type="dxa"/>
            <w:shd w:val="clear" w:color="auto" w:fill="auto"/>
          </w:tcPr>
          <w:p w14:paraId="3380A43E" w14:textId="2AB6C777" w:rsidR="00C60579" w:rsidRDefault="00C60579" w:rsidP="003D5E8F">
            <w:pPr>
              <w:spacing w:after="120"/>
            </w:pPr>
            <w:r>
              <w:t>$57,500</w:t>
            </w:r>
          </w:p>
        </w:tc>
        <w:tc>
          <w:tcPr>
            <w:tcW w:w="4788" w:type="dxa"/>
            <w:shd w:val="clear" w:color="auto" w:fill="auto"/>
          </w:tcPr>
          <w:p w14:paraId="6929B36A" w14:textId="410EE1A5" w:rsidR="00C60579" w:rsidRDefault="00C60579" w:rsidP="003D5E8F">
            <w:pPr>
              <w:spacing w:after="120"/>
            </w:pPr>
            <w:r>
              <w:t>October 1, 2005-September 30, 2006</w:t>
            </w:r>
          </w:p>
        </w:tc>
      </w:tr>
      <w:tr w:rsidR="00C60579" w14:paraId="013C9725" w14:textId="77777777" w:rsidTr="003D5E8F">
        <w:tc>
          <w:tcPr>
            <w:tcW w:w="4788" w:type="dxa"/>
            <w:shd w:val="clear" w:color="auto" w:fill="auto"/>
          </w:tcPr>
          <w:p w14:paraId="24EEAA1D" w14:textId="72F3405E" w:rsidR="00C60579" w:rsidRDefault="00C60579" w:rsidP="003D5E8F">
            <w:pPr>
              <w:spacing w:after="120"/>
            </w:pPr>
            <w:r>
              <w:t>$59,700</w:t>
            </w:r>
          </w:p>
        </w:tc>
        <w:tc>
          <w:tcPr>
            <w:tcW w:w="4788" w:type="dxa"/>
            <w:shd w:val="clear" w:color="auto" w:fill="auto"/>
          </w:tcPr>
          <w:p w14:paraId="7300D01B" w14:textId="5E2AC5EE" w:rsidR="00C60579" w:rsidRDefault="00C60579" w:rsidP="003D5E8F">
            <w:pPr>
              <w:spacing w:after="120"/>
            </w:pPr>
            <w:r>
              <w:t>October 1, 2006 –September 30, 2007</w:t>
            </w:r>
          </w:p>
        </w:tc>
      </w:tr>
      <w:tr w:rsidR="00C60579" w14:paraId="76E421C2" w14:textId="77777777" w:rsidTr="003D5E8F">
        <w:tc>
          <w:tcPr>
            <w:tcW w:w="4788" w:type="dxa"/>
            <w:shd w:val="clear" w:color="auto" w:fill="auto"/>
          </w:tcPr>
          <w:p w14:paraId="0C7F1952" w14:textId="2C3A366B" w:rsidR="00C60579" w:rsidRDefault="00C60579" w:rsidP="003D5E8F">
            <w:pPr>
              <w:spacing w:after="120"/>
            </w:pPr>
            <w:r>
              <w:t>$60,900</w:t>
            </w:r>
          </w:p>
        </w:tc>
        <w:tc>
          <w:tcPr>
            <w:tcW w:w="4788" w:type="dxa"/>
            <w:shd w:val="clear" w:color="auto" w:fill="auto"/>
          </w:tcPr>
          <w:p w14:paraId="02FB1F15" w14:textId="50466E47" w:rsidR="00C60579" w:rsidRDefault="00C60579" w:rsidP="003D5E8F">
            <w:pPr>
              <w:spacing w:after="120"/>
            </w:pPr>
            <w:r>
              <w:t>October 1, 2007-September 30, 2008</w:t>
            </w:r>
          </w:p>
        </w:tc>
      </w:tr>
      <w:tr w:rsidR="00C60579" w14:paraId="09504F8B" w14:textId="77777777" w:rsidTr="003D5E8F">
        <w:tc>
          <w:tcPr>
            <w:tcW w:w="4788" w:type="dxa"/>
            <w:shd w:val="clear" w:color="auto" w:fill="auto"/>
          </w:tcPr>
          <w:p w14:paraId="28F00FB8" w14:textId="59F0DD5C" w:rsidR="00C60579" w:rsidRDefault="002E3CC6" w:rsidP="003D5E8F">
            <w:pPr>
              <w:spacing w:after="120"/>
            </w:pPr>
            <w:r>
              <w:t>$64,2</w:t>
            </w:r>
            <w:r w:rsidR="00C60579">
              <w:t>00</w:t>
            </w:r>
          </w:p>
        </w:tc>
        <w:tc>
          <w:tcPr>
            <w:tcW w:w="4788" w:type="dxa"/>
            <w:shd w:val="clear" w:color="auto" w:fill="auto"/>
          </w:tcPr>
          <w:p w14:paraId="1C97DEF0" w14:textId="14967A97" w:rsidR="00C60579" w:rsidRDefault="00C60579" w:rsidP="003D5E8F">
            <w:pPr>
              <w:spacing w:after="120"/>
            </w:pPr>
            <w:r>
              <w:t>October 1, 2008-September 30, 2009</w:t>
            </w:r>
          </w:p>
        </w:tc>
      </w:tr>
      <w:tr w:rsidR="00C60579" w14:paraId="0668EBE2" w14:textId="77777777" w:rsidTr="003D5E8F">
        <w:tc>
          <w:tcPr>
            <w:tcW w:w="4788" w:type="dxa"/>
            <w:shd w:val="clear" w:color="auto" w:fill="auto"/>
          </w:tcPr>
          <w:p w14:paraId="69083D5E" w14:textId="1C913B1A" w:rsidR="00C60579" w:rsidRDefault="002E3CC6" w:rsidP="003D5E8F">
            <w:pPr>
              <w:spacing w:after="120"/>
            </w:pPr>
            <w:r>
              <w:t>$63,200</w:t>
            </w:r>
          </w:p>
        </w:tc>
        <w:tc>
          <w:tcPr>
            <w:tcW w:w="4788" w:type="dxa"/>
            <w:shd w:val="clear" w:color="auto" w:fill="auto"/>
          </w:tcPr>
          <w:p w14:paraId="7C272FFD" w14:textId="6BE9B3E4" w:rsidR="00C60579" w:rsidRDefault="00C60579" w:rsidP="003D5E8F">
            <w:pPr>
              <w:spacing w:after="120"/>
            </w:pPr>
            <w:r>
              <w:t>October 1, 2009-September 30, 2010</w:t>
            </w:r>
          </w:p>
        </w:tc>
      </w:tr>
      <w:tr w:rsidR="00C60579" w14:paraId="6E96306C" w14:textId="77777777" w:rsidTr="003D5E8F">
        <w:tc>
          <w:tcPr>
            <w:tcW w:w="4788" w:type="dxa"/>
            <w:shd w:val="clear" w:color="auto" w:fill="auto"/>
          </w:tcPr>
          <w:p w14:paraId="022DF108" w14:textId="5D1AF71E" w:rsidR="00C60579" w:rsidRDefault="002E3CC6" w:rsidP="003D5E8F">
            <w:pPr>
              <w:spacing w:after="120"/>
            </w:pPr>
            <w:r>
              <w:t>$63,900</w:t>
            </w:r>
          </w:p>
        </w:tc>
        <w:tc>
          <w:tcPr>
            <w:tcW w:w="4788" w:type="dxa"/>
            <w:shd w:val="clear" w:color="auto" w:fill="auto"/>
          </w:tcPr>
          <w:p w14:paraId="37846EAA" w14:textId="41E3261F" w:rsidR="00C60579" w:rsidRDefault="002E3CC6" w:rsidP="003D5E8F">
            <w:pPr>
              <w:spacing w:after="120"/>
            </w:pPr>
            <w:r>
              <w:t>October 1, 2010-September 30, 2011</w:t>
            </w:r>
          </w:p>
        </w:tc>
      </w:tr>
      <w:tr w:rsidR="00C60579" w14:paraId="1F7765DC" w14:textId="77777777" w:rsidTr="003D5E8F">
        <w:tc>
          <w:tcPr>
            <w:tcW w:w="4788" w:type="dxa"/>
            <w:shd w:val="clear" w:color="auto" w:fill="auto"/>
          </w:tcPr>
          <w:p w14:paraId="64B677E8" w14:textId="5045E39A" w:rsidR="00C60579" w:rsidRDefault="00C83AAF" w:rsidP="003D5E8F">
            <w:pPr>
              <w:spacing w:after="120"/>
            </w:pPr>
            <w:r>
              <w:t>$66,400</w:t>
            </w:r>
          </w:p>
        </w:tc>
        <w:tc>
          <w:tcPr>
            <w:tcW w:w="4788" w:type="dxa"/>
            <w:shd w:val="clear" w:color="auto" w:fill="auto"/>
          </w:tcPr>
          <w:p w14:paraId="4722DCA4" w14:textId="4E1892EE" w:rsidR="00C60579" w:rsidRDefault="002E3CC6" w:rsidP="003D5E8F">
            <w:pPr>
              <w:spacing w:after="120"/>
            </w:pPr>
            <w:r>
              <w:t>October 1, 2011</w:t>
            </w:r>
            <w:r w:rsidRPr="002E3CC6">
              <w:t>-September 30, 201</w:t>
            </w:r>
            <w:r>
              <w:t>2</w:t>
            </w:r>
          </w:p>
        </w:tc>
      </w:tr>
      <w:tr w:rsidR="00C60579" w14:paraId="08937347" w14:textId="77777777" w:rsidTr="003D5E8F">
        <w:tc>
          <w:tcPr>
            <w:tcW w:w="4788" w:type="dxa"/>
            <w:shd w:val="clear" w:color="auto" w:fill="auto"/>
          </w:tcPr>
          <w:p w14:paraId="0C0A945A" w14:textId="0AFBA545" w:rsidR="00C60579" w:rsidRDefault="00C83AAF" w:rsidP="003D5E8F">
            <w:pPr>
              <w:spacing w:after="120"/>
            </w:pPr>
            <w:r>
              <w:t>$67,500</w:t>
            </w:r>
          </w:p>
        </w:tc>
        <w:tc>
          <w:tcPr>
            <w:tcW w:w="4788" w:type="dxa"/>
            <w:shd w:val="clear" w:color="auto" w:fill="auto"/>
          </w:tcPr>
          <w:p w14:paraId="0CEA0376" w14:textId="0B11EE5F" w:rsidR="00C60579" w:rsidRDefault="002E3CC6" w:rsidP="003D5E8F">
            <w:pPr>
              <w:spacing w:after="120"/>
            </w:pPr>
            <w:r>
              <w:t>October 1, 2012</w:t>
            </w:r>
            <w:r w:rsidRPr="002E3CC6">
              <w:t>-September 30, 201</w:t>
            </w:r>
            <w:r>
              <w:t>3</w:t>
            </w:r>
          </w:p>
        </w:tc>
      </w:tr>
      <w:tr w:rsidR="00C60579" w14:paraId="2801CBC4" w14:textId="77777777" w:rsidTr="003D5E8F">
        <w:tc>
          <w:tcPr>
            <w:tcW w:w="4788" w:type="dxa"/>
            <w:shd w:val="clear" w:color="auto" w:fill="auto"/>
          </w:tcPr>
          <w:p w14:paraId="12CC86B7" w14:textId="66338C69" w:rsidR="00C60579" w:rsidRDefault="00C83AAF" w:rsidP="003D5E8F">
            <w:pPr>
              <w:spacing w:after="120"/>
            </w:pPr>
            <w:r>
              <w:t>$68,500</w:t>
            </w:r>
          </w:p>
        </w:tc>
        <w:tc>
          <w:tcPr>
            <w:tcW w:w="4788" w:type="dxa"/>
            <w:shd w:val="clear" w:color="auto" w:fill="auto"/>
          </w:tcPr>
          <w:p w14:paraId="4B58C81D" w14:textId="75DAA772" w:rsidR="00C60579" w:rsidRDefault="002E3CC6" w:rsidP="003D5E8F">
            <w:pPr>
              <w:spacing w:after="120"/>
            </w:pPr>
            <w:r>
              <w:t>October 1, 2013</w:t>
            </w:r>
            <w:r w:rsidR="00C83AAF">
              <w:t>-February 25</w:t>
            </w:r>
            <w:r w:rsidRPr="002E3CC6">
              <w:t>, 201</w:t>
            </w:r>
            <w:r>
              <w:t>4</w:t>
            </w:r>
          </w:p>
        </w:tc>
      </w:tr>
      <w:tr w:rsidR="002E3CC6" w14:paraId="0DD2F982" w14:textId="77777777" w:rsidTr="003D5E8F">
        <w:tc>
          <w:tcPr>
            <w:tcW w:w="4788" w:type="dxa"/>
            <w:shd w:val="clear" w:color="auto" w:fill="auto"/>
          </w:tcPr>
          <w:p w14:paraId="5A93E0EC" w14:textId="68E1749E" w:rsidR="002E3CC6" w:rsidRDefault="00C83AAF" w:rsidP="003D5E8F">
            <w:pPr>
              <w:spacing w:after="120"/>
            </w:pPr>
            <w:r>
              <w:t>$120,000</w:t>
            </w:r>
          </w:p>
        </w:tc>
        <w:tc>
          <w:tcPr>
            <w:tcW w:w="4788" w:type="dxa"/>
            <w:shd w:val="clear" w:color="auto" w:fill="auto"/>
          </w:tcPr>
          <w:p w14:paraId="7628946C" w14:textId="6A3AE92C" w:rsidR="002E3CC6" w:rsidRDefault="00C83AAF" w:rsidP="003D5E8F">
            <w:pPr>
              <w:spacing w:after="120"/>
            </w:pPr>
            <w:r>
              <w:t>February 26</w:t>
            </w:r>
            <w:r w:rsidR="002E3CC6">
              <w:t>, 2014-September 30, 201</w:t>
            </w:r>
            <w:r>
              <w:t>4</w:t>
            </w:r>
          </w:p>
        </w:tc>
      </w:tr>
      <w:tr w:rsidR="00C83AAF" w14:paraId="4AC3BD48" w14:textId="77777777" w:rsidTr="003D5E8F">
        <w:tc>
          <w:tcPr>
            <w:tcW w:w="4788" w:type="dxa"/>
            <w:shd w:val="clear" w:color="auto" w:fill="auto"/>
          </w:tcPr>
          <w:p w14:paraId="022F8478" w14:textId="2427AF54" w:rsidR="00C83AAF" w:rsidRDefault="00C83AAF" w:rsidP="003D5E8F">
            <w:pPr>
              <w:spacing w:after="120"/>
            </w:pPr>
            <w:r>
              <w:t>$121,600</w:t>
            </w:r>
          </w:p>
        </w:tc>
        <w:tc>
          <w:tcPr>
            <w:tcW w:w="4788" w:type="dxa"/>
            <w:shd w:val="clear" w:color="auto" w:fill="auto"/>
          </w:tcPr>
          <w:p w14:paraId="73F9A1DE" w14:textId="149B480C" w:rsidR="00C83AAF" w:rsidRDefault="00C83AAF" w:rsidP="003D5E8F">
            <w:pPr>
              <w:spacing w:after="120"/>
            </w:pPr>
            <w:r>
              <w:t>October 1, 2014-September 30 2015</w:t>
            </w:r>
          </w:p>
        </w:tc>
      </w:tr>
      <w:tr w:rsidR="00C3004C" w14:paraId="0701C5FC" w14:textId="77777777" w:rsidTr="003D5E8F">
        <w:tc>
          <w:tcPr>
            <w:tcW w:w="4788" w:type="dxa"/>
            <w:shd w:val="clear" w:color="auto" w:fill="auto"/>
          </w:tcPr>
          <w:p w14:paraId="1597B083" w14:textId="6A1509D2" w:rsidR="00C3004C" w:rsidRDefault="00C3004C" w:rsidP="003D5E8F">
            <w:pPr>
              <w:spacing w:after="120"/>
            </w:pPr>
            <w:r>
              <w:t>$121,800</w:t>
            </w:r>
          </w:p>
        </w:tc>
        <w:tc>
          <w:tcPr>
            <w:tcW w:w="4788" w:type="dxa"/>
            <w:shd w:val="clear" w:color="auto" w:fill="auto"/>
          </w:tcPr>
          <w:p w14:paraId="775B5CBD" w14:textId="185834F7" w:rsidR="00C3004C" w:rsidRDefault="00C3004C" w:rsidP="003D5E8F">
            <w:pPr>
              <w:spacing w:after="120"/>
            </w:pPr>
            <w:r>
              <w:t>October 1, 2015-September 30, 2016</w:t>
            </w:r>
          </w:p>
        </w:tc>
      </w:tr>
    </w:tbl>
    <w:p w14:paraId="0D9BE60E" w14:textId="77777777" w:rsidR="00C3004C" w:rsidRDefault="00C3004C" w:rsidP="00C3004C">
      <w:pPr>
        <w:spacing w:after="120"/>
        <w:outlineLvl w:val="0"/>
        <w:rPr>
          <w:b/>
          <w:bCs/>
        </w:rPr>
      </w:pPr>
    </w:p>
    <w:p w14:paraId="15631037" w14:textId="77777777" w:rsidR="00056602" w:rsidRDefault="00056602" w:rsidP="00C3004C">
      <w:pPr>
        <w:spacing w:after="120"/>
        <w:outlineLvl w:val="0"/>
        <w:rPr>
          <w:b/>
          <w:bCs/>
        </w:rPr>
      </w:pPr>
      <w:r>
        <w:rPr>
          <w:b/>
          <w:bCs/>
        </w:rPr>
        <w:t>Small Projects</w:t>
      </w:r>
    </w:p>
    <w:p w14:paraId="1471CCA0" w14:textId="77777777" w:rsidR="00056602" w:rsidRDefault="00056602" w:rsidP="00527812">
      <w:r>
        <w:t xml:space="preserve">Applicants are encouraged to make their own estimates for small projects and prepare </w:t>
      </w:r>
      <w:smartTag w:uri="urn:schemas-microsoft-com:office:smarttags" w:element="State">
        <w:r>
          <w:t>PW</w:t>
        </w:r>
      </w:smartTag>
      <w:r>
        <w:t xml:space="preserve">s to be submitted to FEMA.  FEMA will </w:t>
      </w:r>
      <w:r w:rsidR="00347D8A">
        <w:t xml:space="preserve">validate a </w:t>
      </w:r>
      <w:r>
        <w:t xml:space="preserve">20 percent sample of the small projects prepared by the applicant and verify that the scope of the work is eligible and the cost estimate is reasonable.  If the sample passes this validation, FEMA accepts all small project </w:t>
      </w:r>
      <w:smartTag w:uri="urn:schemas-microsoft-com:office:smarttags" w:element="State">
        <w:r>
          <w:t>PW</w:t>
        </w:r>
      </w:smartTag>
      <w:r>
        <w:t>s from the applicant and obligates the funds.  If the sample fails, a second 20 percent is reviewed.  If the second sample also fails, FEMA assigns a specialist to assist the applicant in reformulating and resubmitting all small projects to FEMA.  A FEMA specialist is assigned to formulate an applicant's small projects when an applicant elects not to do so.</w:t>
      </w:r>
    </w:p>
    <w:p w14:paraId="6CC3C3E7" w14:textId="77777777" w:rsidR="00056602" w:rsidRDefault="00056602">
      <w:r>
        <w:lastRenderedPageBreak/>
        <w:t xml:space="preserve">For small projects, final payment of the Federal share of eligible costs is made upon approval of the project.  The amount awarded for small projects based on the </w:t>
      </w:r>
      <w:smartTag w:uri="urn:schemas-microsoft-com:office:smarttags" w:element="State">
        <w:r>
          <w:t>PW</w:t>
        </w:r>
      </w:smartTag>
      <w:r>
        <w:t xml:space="preserve"> generally will not change except under unusual circumstances, such as failure to complete the work, an unexpected insurance recovery, or an obvious error in calculation.  At closeout of the disaster, the State is required to certify that all projects were properly completed and that the State </w:t>
      </w:r>
      <w:r w:rsidR="00EA39B6">
        <w:t xml:space="preserve">met its </w:t>
      </w:r>
      <w:r>
        <w:t>cost</w:t>
      </w:r>
      <w:r>
        <w:noBreakHyphen/>
        <w:t xml:space="preserve">sharing contribution, as specified in the FEMA-State Agreement.  However, this certification does not specify the amount spent by a subgrantee on small projects.  If the actual cost for small projects is less than the estimated cost on the PW and the scope of work is completed, FEMA will not ask for a refund.  Similarly, FEMA generally will not provide additional funding when actual costs exceed the </w:t>
      </w:r>
      <w:smartTag w:uri="urn:schemas-microsoft-com:office:smarttags" w:element="State">
        <w:r>
          <w:t>PW</w:t>
        </w:r>
      </w:smartTag>
      <w:r>
        <w:t xml:space="preserve"> estimate.  However, provision is made that, when a subgrantee has significant overruns, an appeal may be made to FEMA for additional funding based upon the total final costs for all small projects (44 CFR sections 206.204(e) and 206.205(a)).</w:t>
      </w:r>
    </w:p>
    <w:p w14:paraId="2D3F7473" w14:textId="77777777" w:rsidR="00056602" w:rsidRDefault="00056602" w:rsidP="00D23031">
      <w:pPr>
        <w:outlineLvl w:val="0"/>
        <w:rPr>
          <w:b/>
          <w:bCs/>
        </w:rPr>
      </w:pPr>
      <w:r>
        <w:rPr>
          <w:b/>
          <w:bCs/>
        </w:rPr>
        <w:t>Large Projects</w:t>
      </w:r>
    </w:p>
    <w:p w14:paraId="7663193F" w14:textId="77777777" w:rsidR="00056602" w:rsidRDefault="00056602" w:rsidP="00D23031">
      <w:r>
        <w:t xml:space="preserve">For large projects, the State must make an accounting to FEMA of eligible costs for each approved large project.  In submitting the accounting, the State must certify that reported costs were incurred in the performance of eligible work, that the approved work was completed, that the project is in compliance with the FEMA-State Agreement, and that payments for the project have been made in accordance with </w:t>
      </w:r>
      <w:r w:rsidRPr="00E52805">
        <w:rPr>
          <w:color w:val="000000"/>
        </w:rPr>
        <w:t xml:space="preserve">44 CFR section 13.21 </w:t>
      </w:r>
      <w:r>
        <w:t>requirements for payment.  The subgrantee is required to make similar accounting and certifications to the State.  If actual costs are less than the approved amount, then the FEMA share will be based upon the actual costs.  The subgrantee may request additional funding for eligible cost overruns on large projects.  For additional funding, these requests must include a written recommendation from the State and approval of the RA (44 CFR sections 206.204(e) and 206.205).</w:t>
      </w:r>
    </w:p>
    <w:p w14:paraId="52CC6BF0" w14:textId="77777777" w:rsidR="00056602" w:rsidRDefault="00056602" w:rsidP="009E2214">
      <w:pPr>
        <w:outlineLvl w:val="0"/>
        <w:rPr>
          <w:b/>
          <w:bCs/>
        </w:rPr>
      </w:pPr>
      <w:r>
        <w:rPr>
          <w:b/>
          <w:bCs/>
        </w:rPr>
        <w:t>Improved Projects</w:t>
      </w:r>
    </w:p>
    <w:p w14:paraId="0755BF51" w14:textId="77777777" w:rsidR="00056602" w:rsidRDefault="00056602" w:rsidP="009E2214">
      <w:r>
        <w:t>If a subgrantee desires to make improvements, but still restore the pre-disaster function of a damaged facility, State approval must be obtained.  Federal funding for an improved project is limited to the Federal share of the approved estimate of the eligible costs to repair or replace the disaster-damaged facility.  The Federal share will</w:t>
      </w:r>
      <w:r w:rsidRPr="00E52805">
        <w:rPr>
          <w:color w:val="000000"/>
        </w:rPr>
        <w:t xml:space="preserve"> only restore the pre-disaster capacity of the damaged or destroyed facility.</w:t>
      </w:r>
      <w:r>
        <w:t xml:space="preserve">  For example, if eligible work to restore the pre-disaster capacity is $100,000, and the subgrantee chooses to rebuild an improved facility that costs $200,000, then the FEMA share is only based on the $100,000.  However, if the actual cost is less than the eligible work of $100,000 (e.g., construction costs are much lower than expected), then a FEMA adjustment is required (44 CFR section 206.203).</w:t>
      </w:r>
    </w:p>
    <w:p w14:paraId="7F9933D4" w14:textId="77777777" w:rsidR="00056602" w:rsidRDefault="00056602" w:rsidP="00C3004C">
      <w:pPr>
        <w:outlineLvl w:val="0"/>
        <w:rPr>
          <w:b/>
          <w:bCs/>
        </w:rPr>
      </w:pPr>
      <w:r>
        <w:rPr>
          <w:b/>
          <w:bCs/>
        </w:rPr>
        <w:t>Alternate Projects</w:t>
      </w:r>
    </w:p>
    <w:p w14:paraId="33664F11" w14:textId="77777777" w:rsidR="00056602" w:rsidRDefault="00056602" w:rsidP="00C3004C">
      <w:r>
        <w:t>In a case where the subgrantee determines that the public welfare would not be best served by restoring a damaged public facility, the State may request that FEMA approve an alternate project.  This option is available only for permanent, restorative work.  Funds contributed for alternate projects may be used to repair or expand other selected public facilities, to construct new facilities, or to fund hazard mitigation measures.  These funds may not be used to pay the non-Federal share of any project or for any operating expense (44 CFR section 206.203(d)(2)).</w:t>
      </w:r>
    </w:p>
    <w:p w14:paraId="76F40D2C" w14:textId="77777777" w:rsidR="00056602" w:rsidRDefault="00056602">
      <w:r>
        <w:lastRenderedPageBreak/>
        <w:t>Funds approved for an alternate project can be used only for alternate projects specifically approved by FEMA.  While the States and subgrantees have flexibility to propose the type and size of alternate projects they wish to construct, FEMA must review such proposed projects to ensure compliance with environmental and other special concerns (44 CFR section 206.203).</w:t>
      </w:r>
    </w:p>
    <w:p w14:paraId="0BAA5490" w14:textId="77777777" w:rsidR="000E3995" w:rsidRPr="000E3995" w:rsidRDefault="000E3995">
      <w:pPr>
        <w:rPr>
          <w:b/>
        </w:rPr>
      </w:pPr>
      <w:r w:rsidRPr="000E3995">
        <w:rPr>
          <w:b/>
        </w:rPr>
        <w:t>Eligibility of Force Account Labor Straight-Time Costs under the Public Assistance Program for Hurricane Sandy</w:t>
      </w:r>
    </w:p>
    <w:p w14:paraId="207ACA4B" w14:textId="2193A405" w:rsidR="000E3995" w:rsidRDefault="000E3995">
      <w:r>
        <w:t xml:space="preserve">The Sandy Debris Removal </w:t>
      </w:r>
      <w:r w:rsidR="00206E43">
        <w:t>interim f</w:t>
      </w:r>
      <w:r w:rsidR="00421D23">
        <w:t xml:space="preserve">inal </w:t>
      </w:r>
      <w:r w:rsidR="00206E43">
        <w:t>r</w:t>
      </w:r>
      <w:r>
        <w:t>ule</w:t>
      </w:r>
      <w:r w:rsidR="00421D23">
        <w:t>, 77 FR 67285</w:t>
      </w:r>
      <w:r w:rsidR="00277868">
        <w:t>,</w:t>
      </w:r>
      <w:r w:rsidR="00421D23">
        <w:t xml:space="preserve"> published </w:t>
      </w:r>
      <w:r w:rsidR="00421D23" w:rsidRPr="00421D23">
        <w:t>November 9, 2012</w:t>
      </w:r>
      <w:r>
        <w:t xml:space="preserve">, amends 44 CFR </w:t>
      </w:r>
      <w:r w:rsidR="00277868">
        <w:t xml:space="preserve">section </w:t>
      </w:r>
      <w:r>
        <w:t xml:space="preserve">206.228(a)(2) to allow for the reimbursement of the straight- or regular-time salaries and benefits of an eligible applicant’s permanently employed personnel who perform disaster-related debris and wreckage removal work.  The rule is applicable for all emergencies or major disasters declared on or after October 27, 2012, in response to Hurricane Sandy, for work performed under </w:t>
      </w:r>
      <w:r w:rsidR="00277868">
        <w:t>S</w:t>
      </w:r>
      <w:r>
        <w:t xml:space="preserve">ections 403(a)(3)(A), 502(a)(5), and 407 of the Robert T. Stafford Disaster Relief and Emergency Assistance Act (Stafford Act), 42 USC 5170b(a)(3)(A), 5192(a)(5), </w:t>
      </w:r>
      <w:r w:rsidR="00277868">
        <w:t xml:space="preserve">and </w:t>
      </w:r>
      <w:r>
        <w:t xml:space="preserve">5173.  This rule applies to State and local governments, Indian </w:t>
      </w:r>
      <w:r w:rsidR="00277868">
        <w:t>t</w:t>
      </w:r>
      <w:r>
        <w:t xml:space="preserve">ribes or authorized </w:t>
      </w:r>
      <w:r w:rsidR="00277868">
        <w:t>t</w:t>
      </w:r>
      <w:r>
        <w:t>ribal organizations, and certain PNP</w:t>
      </w:r>
      <w:r w:rsidR="00277868">
        <w:t>s</w:t>
      </w:r>
      <w:r w:rsidR="00FC5249">
        <w:t xml:space="preserve"> (s</w:t>
      </w:r>
      <w:r>
        <w:t>ee Recovery Fact Sheet 9580.215</w:t>
      </w:r>
      <w:r w:rsidR="00561CAE">
        <w:t xml:space="preserve"> (</w:t>
      </w:r>
      <w:hyperlink r:id="rId8" w:history="1">
        <w:r w:rsidR="00561CAE" w:rsidRPr="00561CAE">
          <w:rPr>
            <w:rStyle w:val="Hyperlink"/>
          </w:rPr>
          <w:t>http://www.fema.gov/media-library/assets/documents/29714?id=6670</w:t>
        </w:r>
      </w:hyperlink>
      <w:r w:rsidR="00561CAE" w:rsidRPr="00561CAE">
        <w:rPr>
          <w:rStyle w:val="Hyperlink"/>
        </w:rPr>
        <w:t>)</w:t>
      </w:r>
      <w:r>
        <w:t>).</w:t>
      </w:r>
    </w:p>
    <w:p w14:paraId="21AF58A5" w14:textId="77777777" w:rsidR="00191FC2" w:rsidRPr="00421D23" w:rsidRDefault="00191FC2" w:rsidP="00191FC2">
      <w:pPr>
        <w:rPr>
          <w:b/>
        </w:rPr>
      </w:pPr>
      <w:r w:rsidRPr="00421D23">
        <w:rPr>
          <w:b/>
        </w:rPr>
        <w:t>Alternative Procedures</w:t>
      </w:r>
    </w:p>
    <w:p w14:paraId="5EE86AA9" w14:textId="3CB0C1B7" w:rsidR="00191FC2" w:rsidRDefault="00277868" w:rsidP="00191FC2">
      <w:r>
        <w:t>T</w:t>
      </w:r>
      <w:r w:rsidR="00191FC2">
        <w:t>he Sandy Recovery Improvement Act of 2013 (P</w:t>
      </w:r>
      <w:r>
        <w:t xml:space="preserve">ub. </w:t>
      </w:r>
      <w:r w:rsidR="00191FC2">
        <w:t xml:space="preserve">L. </w:t>
      </w:r>
      <w:r>
        <w:t xml:space="preserve">No. </w:t>
      </w:r>
      <w:r w:rsidR="00191FC2">
        <w:t>113-2)</w:t>
      </w:r>
      <w:r>
        <w:t xml:space="preserve"> </w:t>
      </w:r>
      <w:r w:rsidR="00191FC2">
        <w:t xml:space="preserve">amended Title IV of the Stafford Act (42 USC 5121 </w:t>
      </w:r>
      <w:r w:rsidR="00191FC2" w:rsidRPr="00277868">
        <w:rPr>
          <w:i/>
        </w:rPr>
        <w:t>et seq</w:t>
      </w:r>
      <w:r w:rsidR="00191FC2">
        <w:t xml:space="preserve">.) (Stafford Act) by adding </w:t>
      </w:r>
      <w:r>
        <w:t>S</w:t>
      </w:r>
      <w:r w:rsidR="00191FC2">
        <w:t>ection 428, which authorizes FEMA to implement alternative procedures for the PA</w:t>
      </w:r>
      <w:r>
        <w:t xml:space="preserve"> p</w:t>
      </w:r>
      <w:r w:rsidR="00191FC2">
        <w:t xml:space="preserve">rogram, under </w:t>
      </w:r>
      <w:r>
        <w:t>S</w:t>
      </w:r>
      <w:r w:rsidR="00191FC2">
        <w:t>ections 403(a)(3)(A), 406, 407</w:t>
      </w:r>
      <w:r w:rsidR="00E9194F">
        <w:t>,</w:t>
      </w:r>
      <w:r w:rsidR="00191FC2">
        <w:t xml:space="preserve"> and 502(a)(5) of the Stafford Act, through a pilot program.  </w:t>
      </w:r>
    </w:p>
    <w:p w14:paraId="723235AB" w14:textId="78DD3E3D" w:rsidR="00C3004C" w:rsidRDefault="00191FC2" w:rsidP="007F0BEC">
      <w:pPr>
        <w:spacing w:after="0"/>
      </w:pPr>
      <w:r w:rsidRPr="00B26A68">
        <w:rPr>
          <w:b/>
          <w:u w:val="single"/>
        </w:rPr>
        <w:t>Alternative procedures for debris removal pilot</w:t>
      </w:r>
      <w:r w:rsidRPr="00B26A68">
        <w:t>:</w:t>
      </w:r>
      <w:r w:rsidR="00067DCC">
        <w:t xml:space="preserve">  </w:t>
      </w:r>
      <w:r w:rsidR="00067DCC" w:rsidRPr="00067DCC">
        <w:t>Th</w:t>
      </w:r>
      <w:r w:rsidR="00661C6B">
        <w:t>is</w:t>
      </w:r>
      <w:r w:rsidR="00067DCC" w:rsidRPr="00067DCC">
        <w:t xml:space="preserve"> pilot is authorized for major disasters and emergencies declared on or after </w:t>
      </w:r>
      <w:r w:rsidR="00661C6B">
        <w:t>J</w:t>
      </w:r>
      <w:r w:rsidR="00067DCC" w:rsidRPr="00067DCC">
        <w:t>une 28, 2013</w:t>
      </w:r>
      <w:r w:rsidR="00661C6B">
        <w:t>, t</w:t>
      </w:r>
      <w:r w:rsidR="00067DCC" w:rsidRPr="00067DCC">
        <w:t xml:space="preserve">he sole exception is FEMA-4117-DR-OK, which was authorized previously by the President specifically for that major disaster declaration.  </w:t>
      </w:r>
      <w:r w:rsidR="00C3004C">
        <w:t>FEMA extended thi</w:t>
      </w:r>
      <w:r w:rsidR="00C31E80">
        <w:t>s</w:t>
      </w:r>
      <w:r w:rsidR="00C3004C">
        <w:t xml:space="preserve"> pilot program to June 27, 2016 to enable collection of additional data that will be used to evaluate the effectiveness of the alternative procedures and inform decisions as to which alternatve procedures should be permanently incorporated in the PA program.  </w:t>
      </w:r>
    </w:p>
    <w:p w14:paraId="7931B89D" w14:textId="77777777" w:rsidR="00C3004C" w:rsidRDefault="00C3004C" w:rsidP="007F0BEC">
      <w:pPr>
        <w:spacing w:after="0"/>
      </w:pPr>
    </w:p>
    <w:p w14:paraId="1550C27E" w14:textId="0B41DFC1" w:rsidR="00191FC2" w:rsidRDefault="000C539D" w:rsidP="007F0BEC">
      <w:pPr>
        <w:spacing w:after="0"/>
      </w:pPr>
      <w:r>
        <w:t xml:space="preserve">For </w:t>
      </w:r>
      <w:r w:rsidR="00704846">
        <w:t xml:space="preserve">major </w:t>
      </w:r>
      <w:r>
        <w:t xml:space="preserve">disasters and emergencies declared between June 28, 2013 and June 27, 2014, the debris removal alternative procedures, with the exception of reimbursement for straight-time force account labor, are for large projects only.  For </w:t>
      </w:r>
      <w:r w:rsidR="00704846">
        <w:t xml:space="preserve">major </w:t>
      </w:r>
      <w:r>
        <w:t xml:space="preserve">disasters and emergencies declared on or after June 28, 2014, all of the debris removal alternative procedures can be applied to both small and large projects. </w:t>
      </w:r>
      <w:r w:rsidR="00067DCC" w:rsidRPr="00277868">
        <w:t xml:space="preserve"> </w:t>
      </w:r>
    </w:p>
    <w:p w14:paraId="7469B099" w14:textId="77777777" w:rsidR="00704846" w:rsidRPr="00277868" w:rsidRDefault="00704846" w:rsidP="007F0BEC">
      <w:pPr>
        <w:spacing w:after="0"/>
      </w:pPr>
    </w:p>
    <w:p w14:paraId="5642213B" w14:textId="4DFA9FB8" w:rsidR="000A322E" w:rsidRDefault="00191FC2" w:rsidP="00FA5144">
      <w:pPr>
        <w:pStyle w:val="ListParagraph"/>
        <w:numPr>
          <w:ilvl w:val="0"/>
          <w:numId w:val="32"/>
        </w:numPr>
        <w:spacing w:after="240"/>
        <w:ind w:hanging="720"/>
        <w:contextualSpacing/>
        <w:rPr>
          <w:rFonts w:ascii="Times New Roman" w:hAnsi="Times New Roman" w:cs="Times New Roman"/>
          <w:sz w:val="24"/>
          <w:szCs w:val="24"/>
        </w:rPr>
      </w:pPr>
      <w:r w:rsidRPr="00ED4E69">
        <w:rPr>
          <w:rFonts w:ascii="Times New Roman" w:hAnsi="Times New Roman" w:cs="Times New Roman"/>
          <w:i/>
          <w:sz w:val="24"/>
          <w:szCs w:val="24"/>
        </w:rPr>
        <w:t>Accelerated Debris Removal--Increased Federal Cost Share (Sliding Scale) Procedure</w:t>
      </w:r>
      <w:r w:rsidRPr="00ED4E69">
        <w:rPr>
          <w:rFonts w:ascii="Times New Roman" w:hAnsi="Times New Roman" w:cs="Times New Roman"/>
          <w:sz w:val="24"/>
          <w:szCs w:val="24"/>
        </w:rPr>
        <w:t xml:space="preserve"> – Provides an increased </w:t>
      </w:r>
      <w:r w:rsidR="00277868" w:rsidRPr="00ED4E69">
        <w:rPr>
          <w:rFonts w:ascii="Times New Roman" w:hAnsi="Times New Roman" w:cs="Times New Roman"/>
          <w:sz w:val="24"/>
          <w:szCs w:val="24"/>
        </w:rPr>
        <w:t>F</w:t>
      </w:r>
      <w:r w:rsidRPr="00ED4E69">
        <w:rPr>
          <w:rFonts w:ascii="Times New Roman" w:hAnsi="Times New Roman" w:cs="Times New Roman"/>
          <w:sz w:val="24"/>
          <w:szCs w:val="24"/>
        </w:rPr>
        <w:t xml:space="preserve">ederal cost share via a sliding scale to incentivize </w:t>
      </w:r>
      <w:r w:rsidR="00277868" w:rsidRPr="00ED4E69">
        <w:rPr>
          <w:rFonts w:ascii="Times New Roman" w:hAnsi="Times New Roman" w:cs="Times New Roman"/>
          <w:sz w:val="24"/>
          <w:szCs w:val="24"/>
        </w:rPr>
        <w:t>s</w:t>
      </w:r>
      <w:r w:rsidRPr="00ED4E69">
        <w:rPr>
          <w:rFonts w:ascii="Times New Roman" w:hAnsi="Times New Roman" w:cs="Times New Roman"/>
          <w:sz w:val="24"/>
          <w:szCs w:val="24"/>
        </w:rPr>
        <w:t xml:space="preserve">ubgrantees to initiate and complete debris removal operations quickly after a disaster.  </w:t>
      </w:r>
      <w:r w:rsidR="005E335F">
        <w:rPr>
          <w:rFonts w:ascii="Times New Roman" w:hAnsi="Times New Roman" w:cs="Times New Roman"/>
          <w:sz w:val="24"/>
          <w:szCs w:val="24"/>
        </w:rPr>
        <w:t xml:space="preserve">Unless FEMA authorizes an extension, e.g., when unusual circumstances delay the start or completion of work, </w:t>
      </w:r>
      <w:r w:rsidRPr="00ED4E69">
        <w:rPr>
          <w:rFonts w:ascii="Times New Roman" w:hAnsi="Times New Roman" w:cs="Times New Roman"/>
          <w:sz w:val="24"/>
          <w:szCs w:val="24"/>
        </w:rPr>
        <w:t xml:space="preserve">FEMA will limit the amount of time to complete debris removal activities to 180 days from the start of the incident.  Direct Federal Assistance (DFA) is not available to </w:t>
      </w:r>
      <w:r w:rsidR="00093239" w:rsidRPr="00ED4E69">
        <w:rPr>
          <w:rFonts w:ascii="Times New Roman" w:hAnsi="Times New Roman" w:cs="Times New Roman"/>
          <w:sz w:val="24"/>
          <w:szCs w:val="24"/>
        </w:rPr>
        <w:t>s</w:t>
      </w:r>
      <w:r w:rsidRPr="00ED4E69">
        <w:rPr>
          <w:rFonts w:ascii="Times New Roman" w:hAnsi="Times New Roman" w:cs="Times New Roman"/>
          <w:sz w:val="24"/>
          <w:szCs w:val="24"/>
        </w:rPr>
        <w:t>ubgrantees using this procedure.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2831"/>
      </w:tblGrid>
      <w:tr w:rsidR="00ED4E69" w14:paraId="4AACB884" w14:textId="77777777" w:rsidTr="00EE16BA">
        <w:tc>
          <w:tcPr>
            <w:tcW w:w="5850" w:type="dxa"/>
            <w:shd w:val="clear" w:color="auto" w:fill="auto"/>
          </w:tcPr>
          <w:p w14:paraId="4201BCE2" w14:textId="77777777" w:rsidR="00ED4E69" w:rsidRPr="00EE16BA" w:rsidRDefault="00ED4E69" w:rsidP="00527812">
            <w:pPr>
              <w:keepNext/>
              <w:keepLines/>
              <w:contextualSpacing/>
              <w:jc w:val="center"/>
              <w:rPr>
                <w:b/>
              </w:rPr>
            </w:pPr>
            <w:r w:rsidRPr="00EE16BA">
              <w:rPr>
                <w:b/>
              </w:rPr>
              <w:lastRenderedPageBreak/>
              <w:t>Debris Removal Completed (Days from Start of Incident Period)</w:t>
            </w:r>
          </w:p>
        </w:tc>
        <w:tc>
          <w:tcPr>
            <w:tcW w:w="2898" w:type="dxa"/>
            <w:shd w:val="clear" w:color="auto" w:fill="auto"/>
          </w:tcPr>
          <w:p w14:paraId="57B80BE2" w14:textId="77777777" w:rsidR="00ED4E69" w:rsidRPr="00EE16BA" w:rsidRDefault="00ED4E69" w:rsidP="00527812">
            <w:pPr>
              <w:keepNext/>
              <w:keepLines/>
              <w:contextualSpacing/>
              <w:jc w:val="center"/>
              <w:rPr>
                <w:b/>
              </w:rPr>
            </w:pPr>
            <w:r w:rsidRPr="00EE16BA">
              <w:rPr>
                <w:b/>
              </w:rPr>
              <w:t>Federal Cost Share</w:t>
            </w:r>
          </w:p>
        </w:tc>
      </w:tr>
      <w:tr w:rsidR="00ED4E69" w14:paraId="145EAA91" w14:textId="77777777" w:rsidTr="00EE16BA">
        <w:tc>
          <w:tcPr>
            <w:tcW w:w="5850" w:type="dxa"/>
            <w:shd w:val="clear" w:color="auto" w:fill="auto"/>
          </w:tcPr>
          <w:p w14:paraId="5F2F6A81" w14:textId="77777777" w:rsidR="00ED4E69" w:rsidRDefault="00ED4E69" w:rsidP="00527812">
            <w:pPr>
              <w:keepNext/>
              <w:keepLines/>
              <w:contextualSpacing/>
              <w:jc w:val="center"/>
            </w:pPr>
            <w:r>
              <w:t>0–30</w:t>
            </w:r>
          </w:p>
        </w:tc>
        <w:tc>
          <w:tcPr>
            <w:tcW w:w="2898" w:type="dxa"/>
            <w:shd w:val="clear" w:color="auto" w:fill="auto"/>
          </w:tcPr>
          <w:p w14:paraId="3915CCCD" w14:textId="77777777" w:rsidR="00ED4E69" w:rsidRDefault="00ED4E69" w:rsidP="00527812">
            <w:pPr>
              <w:keepNext/>
              <w:keepLines/>
              <w:contextualSpacing/>
              <w:jc w:val="center"/>
            </w:pPr>
            <w:r>
              <w:t>85%</w:t>
            </w:r>
          </w:p>
        </w:tc>
      </w:tr>
      <w:tr w:rsidR="00ED4E69" w14:paraId="7B3D7905" w14:textId="77777777" w:rsidTr="00EE16BA">
        <w:tc>
          <w:tcPr>
            <w:tcW w:w="5850" w:type="dxa"/>
            <w:shd w:val="clear" w:color="auto" w:fill="auto"/>
          </w:tcPr>
          <w:p w14:paraId="0EC24B34" w14:textId="77777777" w:rsidR="00ED4E69" w:rsidRDefault="00ED4E69" w:rsidP="00EE16BA">
            <w:pPr>
              <w:contextualSpacing/>
              <w:jc w:val="center"/>
            </w:pPr>
            <w:r>
              <w:t>31–90</w:t>
            </w:r>
          </w:p>
        </w:tc>
        <w:tc>
          <w:tcPr>
            <w:tcW w:w="2898" w:type="dxa"/>
            <w:shd w:val="clear" w:color="auto" w:fill="auto"/>
          </w:tcPr>
          <w:p w14:paraId="4ECBCB27" w14:textId="77777777" w:rsidR="00ED4E69" w:rsidRDefault="00ED4E69" w:rsidP="00EE16BA">
            <w:pPr>
              <w:contextualSpacing/>
              <w:jc w:val="center"/>
            </w:pPr>
            <w:r>
              <w:t>80%</w:t>
            </w:r>
          </w:p>
        </w:tc>
      </w:tr>
      <w:tr w:rsidR="00ED4E69" w14:paraId="5C386635" w14:textId="77777777" w:rsidTr="00EE16BA">
        <w:tc>
          <w:tcPr>
            <w:tcW w:w="5850" w:type="dxa"/>
            <w:shd w:val="clear" w:color="auto" w:fill="auto"/>
          </w:tcPr>
          <w:p w14:paraId="0058BD91" w14:textId="77777777" w:rsidR="00ED4E69" w:rsidRDefault="00ED4E69" w:rsidP="00EE16BA">
            <w:pPr>
              <w:contextualSpacing/>
              <w:jc w:val="center"/>
            </w:pPr>
            <w:r>
              <w:t>91–180</w:t>
            </w:r>
          </w:p>
        </w:tc>
        <w:tc>
          <w:tcPr>
            <w:tcW w:w="2898" w:type="dxa"/>
            <w:shd w:val="clear" w:color="auto" w:fill="auto"/>
          </w:tcPr>
          <w:p w14:paraId="676D03D1" w14:textId="77777777" w:rsidR="00ED4E69" w:rsidRDefault="00ED4E69" w:rsidP="00EE16BA">
            <w:pPr>
              <w:contextualSpacing/>
              <w:jc w:val="center"/>
            </w:pPr>
            <w:r>
              <w:t>75%</w:t>
            </w:r>
          </w:p>
        </w:tc>
      </w:tr>
      <w:tr w:rsidR="005E335F" w14:paraId="44795020" w14:textId="77777777" w:rsidTr="00B06B50">
        <w:tc>
          <w:tcPr>
            <w:tcW w:w="8748" w:type="dxa"/>
            <w:gridSpan w:val="2"/>
            <w:shd w:val="clear" w:color="auto" w:fill="auto"/>
          </w:tcPr>
          <w:p w14:paraId="152EEE51" w14:textId="2DC9D7ED" w:rsidR="005E335F" w:rsidRDefault="005E335F" w:rsidP="00EE16BA">
            <w:pPr>
              <w:contextualSpacing/>
              <w:jc w:val="center"/>
            </w:pPr>
            <w:r>
              <w:tab/>
              <w:t>Federal dollars will NOT be provided for debris removal after 180 days unless FEMA authorizes an extension in writing</w:t>
            </w:r>
          </w:p>
        </w:tc>
      </w:tr>
    </w:tbl>
    <w:p w14:paraId="7630CD96" w14:textId="77777777" w:rsidR="005E335F" w:rsidRDefault="005E335F" w:rsidP="00ED4E69">
      <w:pPr>
        <w:ind w:left="720"/>
        <w:contextualSpacing/>
      </w:pPr>
    </w:p>
    <w:p w14:paraId="2DC93A38" w14:textId="7332A220" w:rsidR="00191FC2" w:rsidRPr="00B26A68" w:rsidRDefault="00191FC2" w:rsidP="00FA5144">
      <w:pPr>
        <w:pStyle w:val="ListParagraph"/>
        <w:numPr>
          <w:ilvl w:val="0"/>
          <w:numId w:val="32"/>
        </w:numPr>
        <w:spacing w:after="240"/>
        <w:ind w:hanging="720"/>
        <w:rPr>
          <w:rFonts w:ascii="Times New Roman" w:hAnsi="Times New Roman" w:cs="Times New Roman"/>
          <w:sz w:val="24"/>
          <w:szCs w:val="24"/>
        </w:rPr>
      </w:pPr>
      <w:r w:rsidRPr="00B26A68">
        <w:rPr>
          <w:rFonts w:ascii="Times New Roman" w:hAnsi="Times New Roman" w:cs="Times New Roman"/>
          <w:i/>
          <w:sz w:val="24"/>
          <w:szCs w:val="24"/>
        </w:rPr>
        <w:t>Debris Management Plan Procedure</w:t>
      </w:r>
      <w:r w:rsidRPr="00B26A68">
        <w:rPr>
          <w:rFonts w:ascii="Times New Roman" w:hAnsi="Times New Roman" w:cs="Times New Roman"/>
          <w:sz w:val="24"/>
          <w:szCs w:val="24"/>
        </w:rPr>
        <w:t xml:space="preserve"> – Provides a one-time two (2) percent </w:t>
      </w:r>
      <w:r w:rsidR="00093239">
        <w:rPr>
          <w:rFonts w:ascii="Times New Roman" w:hAnsi="Times New Roman" w:cs="Times New Roman"/>
          <w:sz w:val="24"/>
          <w:szCs w:val="24"/>
        </w:rPr>
        <w:t>F</w:t>
      </w:r>
      <w:r w:rsidRPr="00B26A68">
        <w:rPr>
          <w:rFonts w:ascii="Times New Roman" w:hAnsi="Times New Roman" w:cs="Times New Roman"/>
          <w:sz w:val="24"/>
          <w:szCs w:val="24"/>
        </w:rPr>
        <w:t xml:space="preserve">ederal cost share increase for the first 0-90 days when a </w:t>
      </w:r>
      <w:r w:rsidR="00093239">
        <w:rPr>
          <w:rFonts w:ascii="Times New Roman" w:hAnsi="Times New Roman" w:cs="Times New Roman"/>
          <w:sz w:val="24"/>
          <w:szCs w:val="24"/>
        </w:rPr>
        <w:t>s</w:t>
      </w:r>
      <w:r w:rsidRPr="00B26A68">
        <w:rPr>
          <w:rFonts w:ascii="Times New Roman" w:hAnsi="Times New Roman" w:cs="Times New Roman"/>
          <w:sz w:val="24"/>
          <w:szCs w:val="24"/>
        </w:rPr>
        <w:t>ubgrantee has a FEMA-accepted Debris Management Plan and has pre-qualified one or more debris removal contractors before the declaration.</w:t>
      </w:r>
    </w:p>
    <w:p w14:paraId="1BCB447F" w14:textId="2D12B206" w:rsidR="00E64A7B" w:rsidRPr="00B26A68" w:rsidRDefault="00191FC2" w:rsidP="00FA5144">
      <w:pPr>
        <w:pStyle w:val="ListParagraph"/>
        <w:numPr>
          <w:ilvl w:val="0"/>
          <w:numId w:val="32"/>
        </w:numPr>
        <w:spacing w:after="240"/>
        <w:ind w:hanging="720"/>
        <w:rPr>
          <w:rFonts w:ascii="Times New Roman" w:hAnsi="Times New Roman" w:cs="Times New Roman"/>
          <w:sz w:val="24"/>
          <w:szCs w:val="24"/>
        </w:rPr>
      </w:pPr>
      <w:r w:rsidRPr="00B26A68">
        <w:rPr>
          <w:rFonts w:ascii="Times New Roman" w:hAnsi="Times New Roman" w:cs="Times New Roman"/>
          <w:i/>
          <w:sz w:val="24"/>
          <w:szCs w:val="24"/>
        </w:rPr>
        <w:t>Straight-Time Force Account Labor Procedure</w:t>
      </w:r>
      <w:r w:rsidRPr="00B26A68">
        <w:rPr>
          <w:rFonts w:ascii="Times New Roman" w:hAnsi="Times New Roman" w:cs="Times New Roman"/>
          <w:sz w:val="24"/>
          <w:szCs w:val="24"/>
        </w:rPr>
        <w:t xml:space="preserve"> – Provides reimbursement of base wages for a </w:t>
      </w:r>
      <w:r w:rsidR="00093239">
        <w:rPr>
          <w:rFonts w:ascii="Times New Roman" w:hAnsi="Times New Roman" w:cs="Times New Roman"/>
          <w:sz w:val="24"/>
          <w:szCs w:val="24"/>
        </w:rPr>
        <w:t>s</w:t>
      </w:r>
      <w:r w:rsidRPr="00B26A68">
        <w:rPr>
          <w:rFonts w:ascii="Times New Roman" w:hAnsi="Times New Roman" w:cs="Times New Roman"/>
          <w:sz w:val="24"/>
          <w:szCs w:val="24"/>
        </w:rPr>
        <w:t>ubgrantee’s own employees that perform or administer debris removal.</w:t>
      </w:r>
    </w:p>
    <w:p w14:paraId="600F80EB" w14:textId="4FBD5B23" w:rsidR="00191FC2" w:rsidRDefault="00191FC2" w:rsidP="00FA5144">
      <w:pPr>
        <w:pStyle w:val="ListParagraph"/>
        <w:numPr>
          <w:ilvl w:val="0"/>
          <w:numId w:val="32"/>
        </w:numPr>
        <w:spacing w:after="240"/>
        <w:ind w:hanging="720"/>
        <w:rPr>
          <w:rFonts w:ascii="Times New Roman" w:hAnsi="Times New Roman" w:cs="Times New Roman"/>
          <w:sz w:val="24"/>
          <w:szCs w:val="24"/>
        </w:rPr>
      </w:pPr>
      <w:r w:rsidRPr="00B26A68">
        <w:rPr>
          <w:rFonts w:ascii="Times New Roman" w:hAnsi="Times New Roman" w:cs="Times New Roman"/>
          <w:i/>
          <w:sz w:val="24"/>
          <w:szCs w:val="24"/>
        </w:rPr>
        <w:t>Recycling Revenue Procedure</w:t>
      </w:r>
      <w:r w:rsidRPr="00B26A68">
        <w:rPr>
          <w:rFonts w:ascii="Times New Roman" w:hAnsi="Times New Roman" w:cs="Times New Roman"/>
          <w:sz w:val="24"/>
          <w:szCs w:val="24"/>
        </w:rPr>
        <w:t xml:space="preserve"> – Allows </w:t>
      </w:r>
      <w:r w:rsidR="00093239">
        <w:rPr>
          <w:rFonts w:ascii="Times New Roman" w:hAnsi="Times New Roman" w:cs="Times New Roman"/>
          <w:sz w:val="24"/>
          <w:szCs w:val="24"/>
        </w:rPr>
        <w:t>s</w:t>
      </w:r>
      <w:r w:rsidRPr="00B26A68">
        <w:rPr>
          <w:rFonts w:ascii="Times New Roman" w:hAnsi="Times New Roman" w:cs="Times New Roman"/>
          <w:sz w:val="24"/>
          <w:szCs w:val="24"/>
        </w:rPr>
        <w:t>ubgrantees to retain program income received from recycled debris if used for activities that will improve debris removal operations in the future.</w:t>
      </w:r>
    </w:p>
    <w:p w14:paraId="4DD1ADD5" w14:textId="77777777" w:rsidR="00191FC2" w:rsidRPr="00093239" w:rsidRDefault="005563BA" w:rsidP="00ED4E69">
      <w:pPr>
        <w:pStyle w:val="NoSpacing"/>
        <w:keepNext/>
        <w:keepLines/>
        <w:spacing w:after="240"/>
        <w:rPr>
          <w:sz w:val="26"/>
          <w:szCs w:val="26"/>
        </w:rPr>
      </w:pPr>
      <w:r w:rsidRPr="00B26A68">
        <w:rPr>
          <w:b/>
          <w:sz w:val="24"/>
          <w:szCs w:val="24"/>
          <w:u w:val="single"/>
        </w:rPr>
        <w:t>A</w:t>
      </w:r>
      <w:r w:rsidR="00191FC2" w:rsidRPr="00B26A68">
        <w:rPr>
          <w:b/>
          <w:sz w:val="24"/>
          <w:szCs w:val="24"/>
          <w:u w:val="single"/>
        </w:rPr>
        <w:t>lternative procedures for permanent work</w:t>
      </w:r>
      <w:r w:rsidR="00470E0C">
        <w:rPr>
          <w:b/>
          <w:sz w:val="24"/>
          <w:szCs w:val="24"/>
          <w:u w:val="single"/>
        </w:rPr>
        <w:t xml:space="preserve"> pilot</w:t>
      </w:r>
      <w:r w:rsidR="00191FC2">
        <w:rPr>
          <w:b/>
          <w:sz w:val="26"/>
          <w:szCs w:val="26"/>
        </w:rPr>
        <w:t>:</w:t>
      </w:r>
      <w:r w:rsidR="00661C6B">
        <w:rPr>
          <w:b/>
          <w:sz w:val="26"/>
          <w:szCs w:val="26"/>
        </w:rPr>
        <w:t xml:space="preserve">  </w:t>
      </w:r>
      <w:r w:rsidR="00661C6B" w:rsidRPr="00B26A68">
        <w:rPr>
          <w:sz w:val="24"/>
          <w:szCs w:val="24"/>
        </w:rPr>
        <w:t>The alternative procedures pilot for permanent work is effective for major disasters declared on or after May 20, 2013.  The alternative procedures may also be applied in previously declared major disasters for projects where construction has not yet begun.</w:t>
      </w:r>
      <w:r w:rsidR="00470E0C">
        <w:rPr>
          <w:sz w:val="24"/>
          <w:szCs w:val="24"/>
        </w:rPr>
        <w:t xml:space="preserve">  </w:t>
      </w:r>
      <w:r w:rsidR="00470E0C" w:rsidRPr="00093239">
        <w:rPr>
          <w:sz w:val="24"/>
          <w:szCs w:val="24"/>
        </w:rPr>
        <w:t>Th</w:t>
      </w:r>
      <w:r w:rsidR="00093239">
        <w:rPr>
          <w:sz w:val="24"/>
          <w:szCs w:val="24"/>
        </w:rPr>
        <w:t>is</w:t>
      </w:r>
      <w:r w:rsidR="00470E0C" w:rsidRPr="00093239">
        <w:rPr>
          <w:sz w:val="24"/>
          <w:szCs w:val="24"/>
        </w:rPr>
        <w:t xml:space="preserve"> pilot will remain in place until FEMA promulgates and adopts revised regulations that reflect the program changes the law authorizes.</w:t>
      </w:r>
      <w:r w:rsidR="00661C6B" w:rsidRPr="00093239">
        <w:rPr>
          <w:sz w:val="26"/>
          <w:szCs w:val="26"/>
        </w:rPr>
        <w:t xml:space="preserve">  </w:t>
      </w:r>
    </w:p>
    <w:p w14:paraId="0006A4E4" w14:textId="0721A96A" w:rsidR="00191FC2" w:rsidRPr="00B26A68" w:rsidRDefault="00191FC2" w:rsidP="00FA5144">
      <w:pPr>
        <w:pStyle w:val="ListParagraph"/>
        <w:numPr>
          <w:ilvl w:val="0"/>
          <w:numId w:val="33"/>
        </w:numPr>
        <w:tabs>
          <w:tab w:val="left" w:pos="720"/>
        </w:tabs>
        <w:spacing w:after="240"/>
        <w:ind w:hanging="720"/>
        <w:rPr>
          <w:rFonts w:ascii="Times New Roman" w:hAnsi="Times New Roman" w:cs="Times New Roman"/>
          <w:b/>
          <w:sz w:val="24"/>
          <w:szCs w:val="24"/>
        </w:rPr>
      </w:pPr>
      <w:bookmarkStart w:id="0" w:name="_Toc356408906"/>
      <w:bookmarkStart w:id="1" w:name="_Toc352333889"/>
      <w:r w:rsidRPr="00B26A68">
        <w:rPr>
          <w:rFonts w:ascii="Times New Roman" w:hAnsi="Times New Roman" w:cs="Times New Roman"/>
          <w:i/>
          <w:sz w:val="24"/>
          <w:szCs w:val="24"/>
        </w:rPr>
        <w:t>Subgrants Based on Fixed Estimates</w:t>
      </w:r>
      <w:bookmarkEnd w:id="0"/>
      <w:bookmarkEnd w:id="1"/>
      <w:r w:rsidRPr="00B26A68">
        <w:rPr>
          <w:rFonts w:ascii="Times New Roman" w:hAnsi="Times New Roman" w:cs="Times New Roman"/>
          <w:b/>
          <w:sz w:val="24"/>
          <w:szCs w:val="24"/>
        </w:rPr>
        <w:t xml:space="preserve"> </w:t>
      </w:r>
      <w:r w:rsidR="005563BA" w:rsidRPr="009A6E71">
        <w:rPr>
          <w:rFonts w:ascii="Times New Roman" w:hAnsi="Times New Roman" w:cs="Times New Roman"/>
          <w:sz w:val="24"/>
          <w:szCs w:val="24"/>
        </w:rPr>
        <w:t>–</w:t>
      </w:r>
      <w:r w:rsidRPr="00B26A68">
        <w:rPr>
          <w:rFonts w:ascii="Times New Roman" w:hAnsi="Times New Roman" w:cs="Times New Roman"/>
          <w:b/>
          <w:sz w:val="24"/>
          <w:szCs w:val="24"/>
        </w:rPr>
        <w:t xml:space="preserve"> </w:t>
      </w:r>
      <w:r w:rsidRPr="00B26A68">
        <w:rPr>
          <w:rFonts w:ascii="Times New Roman" w:hAnsi="Times New Roman" w:cs="Times New Roman"/>
          <w:sz w:val="24"/>
          <w:szCs w:val="24"/>
        </w:rPr>
        <w:t xml:space="preserve">Subgrantees may </w:t>
      </w:r>
      <w:r w:rsidR="00093239">
        <w:rPr>
          <w:rFonts w:ascii="Times New Roman" w:hAnsi="Times New Roman" w:cs="Times New Roman"/>
          <w:sz w:val="24"/>
          <w:szCs w:val="24"/>
        </w:rPr>
        <w:t xml:space="preserve">receive </w:t>
      </w:r>
      <w:r w:rsidRPr="00B26A68">
        <w:rPr>
          <w:rFonts w:ascii="Times New Roman" w:hAnsi="Times New Roman" w:cs="Times New Roman"/>
          <w:sz w:val="24"/>
          <w:szCs w:val="24"/>
        </w:rPr>
        <w:t xml:space="preserve">subgrants based on fixed estimates within 9 months of the declaration.  </w:t>
      </w:r>
      <w:r w:rsidR="00093239">
        <w:rPr>
          <w:rFonts w:ascii="Times New Roman" w:hAnsi="Times New Roman" w:cs="Times New Roman"/>
          <w:sz w:val="24"/>
          <w:szCs w:val="24"/>
        </w:rPr>
        <w:t>This p</w:t>
      </w:r>
      <w:r w:rsidRPr="00B26A68">
        <w:rPr>
          <w:rFonts w:ascii="Times New Roman" w:hAnsi="Times New Roman" w:cs="Times New Roman"/>
          <w:sz w:val="24"/>
          <w:szCs w:val="24"/>
        </w:rPr>
        <w:t xml:space="preserve">rovides </w:t>
      </w:r>
      <w:r w:rsidR="00093239">
        <w:rPr>
          <w:rFonts w:ascii="Times New Roman" w:hAnsi="Times New Roman" w:cs="Times New Roman"/>
          <w:sz w:val="24"/>
          <w:szCs w:val="24"/>
        </w:rPr>
        <w:t>s</w:t>
      </w:r>
      <w:r w:rsidRPr="00B26A68">
        <w:rPr>
          <w:rFonts w:ascii="Times New Roman" w:hAnsi="Times New Roman" w:cs="Times New Roman"/>
          <w:sz w:val="24"/>
          <w:szCs w:val="24"/>
        </w:rPr>
        <w:t xml:space="preserve">ubgrantees with </w:t>
      </w:r>
      <w:r w:rsidR="00093239">
        <w:rPr>
          <w:rFonts w:ascii="Times New Roman" w:hAnsi="Times New Roman" w:cs="Times New Roman"/>
          <w:sz w:val="24"/>
          <w:szCs w:val="24"/>
        </w:rPr>
        <w:t xml:space="preserve">the </w:t>
      </w:r>
      <w:r w:rsidRPr="00B26A68">
        <w:rPr>
          <w:rFonts w:ascii="Times New Roman" w:hAnsi="Times New Roman" w:cs="Times New Roman"/>
          <w:sz w:val="24"/>
          <w:szCs w:val="24"/>
        </w:rPr>
        <w:t xml:space="preserve">flexibility to repair or rebuild a facility as it deems necessary for its operations with no requirement to rebuild to pre-disaster design, capacity or function. </w:t>
      </w:r>
    </w:p>
    <w:p w14:paraId="19F07082" w14:textId="2632B081" w:rsidR="00191FC2" w:rsidRPr="00B26A68" w:rsidRDefault="00191FC2" w:rsidP="00FA5144">
      <w:pPr>
        <w:pStyle w:val="ListParagraph"/>
        <w:numPr>
          <w:ilvl w:val="0"/>
          <w:numId w:val="33"/>
        </w:numPr>
        <w:tabs>
          <w:tab w:val="left" w:pos="720"/>
        </w:tabs>
        <w:spacing w:after="240" w:line="276" w:lineRule="auto"/>
        <w:ind w:hanging="720"/>
        <w:rPr>
          <w:rFonts w:ascii="Times New Roman" w:hAnsi="Times New Roman" w:cs="Times New Roman"/>
          <w:b/>
          <w:sz w:val="24"/>
          <w:szCs w:val="24"/>
        </w:rPr>
      </w:pPr>
      <w:r w:rsidRPr="00B26A68">
        <w:rPr>
          <w:rFonts w:ascii="Times New Roman" w:hAnsi="Times New Roman" w:cs="Times New Roman"/>
          <w:i/>
          <w:sz w:val="24"/>
          <w:szCs w:val="24"/>
        </w:rPr>
        <w:t>Consolidation of Fixed Estimate Subgrants</w:t>
      </w:r>
      <w:r w:rsidRPr="00B26A68">
        <w:rPr>
          <w:rFonts w:ascii="Times New Roman" w:hAnsi="Times New Roman" w:cs="Times New Roman"/>
          <w:b/>
          <w:sz w:val="24"/>
          <w:szCs w:val="24"/>
        </w:rPr>
        <w:t xml:space="preserve"> </w:t>
      </w:r>
      <w:r w:rsidR="005563BA" w:rsidRPr="009A6E71">
        <w:rPr>
          <w:rFonts w:ascii="Times New Roman" w:hAnsi="Times New Roman" w:cs="Times New Roman"/>
          <w:sz w:val="24"/>
          <w:szCs w:val="24"/>
        </w:rPr>
        <w:t>–</w:t>
      </w:r>
      <w:r w:rsidRPr="00B26A68">
        <w:rPr>
          <w:rFonts w:ascii="Times New Roman" w:hAnsi="Times New Roman" w:cs="Times New Roman"/>
          <w:b/>
          <w:sz w:val="24"/>
          <w:szCs w:val="24"/>
        </w:rPr>
        <w:t xml:space="preserve"> </w:t>
      </w:r>
      <w:r w:rsidRPr="00B26A68">
        <w:rPr>
          <w:rFonts w:ascii="Times New Roman" w:hAnsi="Times New Roman" w:cs="Times New Roman"/>
          <w:sz w:val="24"/>
          <w:szCs w:val="24"/>
        </w:rPr>
        <w:t xml:space="preserve">Subgrantees may combine two or more fixed subgrants into a single fixed subgrant within 12 months of the declaration date.  This feature allows flexibility to execute work across multiple facilities or sites in ways that support a </w:t>
      </w:r>
      <w:r w:rsidR="00093239">
        <w:rPr>
          <w:rFonts w:ascii="Times New Roman" w:hAnsi="Times New Roman" w:cs="Times New Roman"/>
          <w:sz w:val="24"/>
          <w:szCs w:val="24"/>
        </w:rPr>
        <w:t>s</w:t>
      </w:r>
      <w:r w:rsidRPr="00B26A68">
        <w:rPr>
          <w:rFonts w:ascii="Times New Roman" w:hAnsi="Times New Roman" w:cs="Times New Roman"/>
          <w:sz w:val="24"/>
          <w:szCs w:val="24"/>
        </w:rPr>
        <w:t xml:space="preserve">ubgrantee’s post-disaster recovery needs.  </w:t>
      </w:r>
    </w:p>
    <w:p w14:paraId="3818EF1D" w14:textId="120F10E8" w:rsidR="00191FC2" w:rsidRPr="00B26A68" w:rsidRDefault="00191FC2" w:rsidP="00FA5144">
      <w:pPr>
        <w:pStyle w:val="ListParagraph"/>
        <w:numPr>
          <w:ilvl w:val="0"/>
          <w:numId w:val="33"/>
        </w:numPr>
        <w:spacing w:after="240" w:line="276" w:lineRule="auto"/>
        <w:ind w:hanging="720"/>
        <w:rPr>
          <w:rFonts w:ascii="Times New Roman" w:hAnsi="Times New Roman" w:cs="Times New Roman"/>
          <w:b/>
          <w:sz w:val="24"/>
          <w:szCs w:val="24"/>
        </w:rPr>
      </w:pPr>
      <w:r w:rsidRPr="00B26A68">
        <w:rPr>
          <w:rFonts w:ascii="Times New Roman" w:hAnsi="Times New Roman" w:cs="Times New Roman"/>
          <w:i/>
          <w:sz w:val="24"/>
          <w:szCs w:val="24"/>
        </w:rPr>
        <w:t>Elimination of the Reduction in Eligible Costs for Alternate Projects</w:t>
      </w:r>
      <w:r w:rsidRPr="00B26A68">
        <w:rPr>
          <w:rFonts w:ascii="Times New Roman" w:hAnsi="Times New Roman" w:cs="Times New Roman"/>
          <w:b/>
          <w:sz w:val="24"/>
          <w:szCs w:val="24"/>
        </w:rPr>
        <w:t xml:space="preserve"> </w:t>
      </w:r>
      <w:r w:rsidR="005563BA" w:rsidRPr="009A6E71">
        <w:rPr>
          <w:rFonts w:ascii="Times New Roman" w:hAnsi="Times New Roman" w:cs="Times New Roman"/>
          <w:sz w:val="24"/>
          <w:szCs w:val="24"/>
        </w:rPr>
        <w:t>–</w:t>
      </w:r>
      <w:r w:rsidRPr="00B26A68">
        <w:rPr>
          <w:rFonts w:ascii="Times New Roman" w:hAnsi="Times New Roman" w:cs="Times New Roman"/>
          <w:b/>
          <w:sz w:val="24"/>
          <w:szCs w:val="24"/>
        </w:rPr>
        <w:t xml:space="preserve"> </w:t>
      </w:r>
      <w:r w:rsidRPr="00B26A68">
        <w:rPr>
          <w:rFonts w:ascii="Times New Roman" w:hAnsi="Times New Roman" w:cs="Times New Roman"/>
          <w:sz w:val="24"/>
          <w:szCs w:val="24"/>
        </w:rPr>
        <w:t xml:space="preserve">FEMA will not implement the reduction (per </w:t>
      </w:r>
      <w:r w:rsidR="00093239">
        <w:rPr>
          <w:rFonts w:ascii="Times New Roman" w:hAnsi="Times New Roman" w:cs="Times New Roman"/>
          <w:sz w:val="24"/>
          <w:szCs w:val="24"/>
        </w:rPr>
        <w:t>S</w:t>
      </w:r>
      <w:r w:rsidRPr="00B26A68">
        <w:rPr>
          <w:rFonts w:ascii="Times New Roman" w:hAnsi="Times New Roman" w:cs="Times New Roman"/>
          <w:sz w:val="24"/>
          <w:szCs w:val="24"/>
        </w:rPr>
        <w:t xml:space="preserve">ections 406(c)(1) and406(c)(2) of the Stafford Act) on alternate projects.  </w:t>
      </w:r>
    </w:p>
    <w:p w14:paraId="2F9A0266" w14:textId="1E2F0D8E" w:rsidR="00191FC2" w:rsidRPr="00B26A68" w:rsidRDefault="00191FC2" w:rsidP="00FA5144">
      <w:pPr>
        <w:pStyle w:val="ListParagraph"/>
        <w:numPr>
          <w:ilvl w:val="0"/>
          <w:numId w:val="33"/>
        </w:numPr>
        <w:spacing w:after="240"/>
        <w:ind w:hanging="720"/>
        <w:rPr>
          <w:rFonts w:ascii="Times New Roman" w:hAnsi="Times New Roman" w:cs="Times New Roman"/>
          <w:b/>
          <w:sz w:val="24"/>
          <w:szCs w:val="24"/>
        </w:rPr>
      </w:pPr>
      <w:r w:rsidRPr="00B26A68">
        <w:rPr>
          <w:rFonts w:ascii="Times New Roman" w:hAnsi="Times New Roman" w:cs="Times New Roman"/>
          <w:i/>
          <w:sz w:val="24"/>
          <w:szCs w:val="24"/>
        </w:rPr>
        <w:t>Use of Excess Funds</w:t>
      </w:r>
      <w:r w:rsidRPr="00B26A68">
        <w:rPr>
          <w:rFonts w:ascii="Times New Roman" w:hAnsi="Times New Roman" w:cs="Times New Roman"/>
          <w:sz w:val="24"/>
          <w:szCs w:val="24"/>
        </w:rPr>
        <w:t xml:space="preserve"> </w:t>
      </w:r>
      <w:r w:rsidR="005563BA" w:rsidRPr="009A6E71">
        <w:rPr>
          <w:rFonts w:ascii="Times New Roman" w:hAnsi="Times New Roman" w:cs="Times New Roman"/>
          <w:sz w:val="24"/>
          <w:szCs w:val="24"/>
        </w:rPr>
        <w:t>–</w:t>
      </w:r>
      <w:r w:rsidRPr="00B26A68">
        <w:rPr>
          <w:rFonts w:ascii="Times New Roman" w:hAnsi="Times New Roman" w:cs="Times New Roman"/>
          <w:b/>
          <w:sz w:val="24"/>
          <w:szCs w:val="24"/>
        </w:rPr>
        <w:t xml:space="preserve"> </w:t>
      </w:r>
      <w:r w:rsidRPr="00B26A68">
        <w:rPr>
          <w:rFonts w:ascii="Times New Roman" w:hAnsi="Times New Roman" w:cs="Times New Roman"/>
          <w:sz w:val="24"/>
          <w:szCs w:val="24"/>
        </w:rPr>
        <w:t xml:space="preserve">Subgrantees may use excess funds for cost-effective activities that reduce the risk of future damage, hardship, or suffering from a major disaster and other activities to improve future PA operations or planning when the actual cost of the work is less than the fixed amount. </w:t>
      </w:r>
    </w:p>
    <w:p w14:paraId="425AC2AB" w14:textId="28D9A5F2" w:rsidR="00191FC2" w:rsidRPr="00B26A68" w:rsidRDefault="00191FC2" w:rsidP="00FA5144">
      <w:pPr>
        <w:pStyle w:val="ListParagraph"/>
        <w:numPr>
          <w:ilvl w:val="0"/>
          <w:numId w:val="33"/>
        </w:numPr>
        <w:tabs>
          <w:tab w:val="left" w:pos="720"/>
        </w:tabs>
        <w:spacing w:after="240"/>
        <w:ind w:hanging="720"/>
        <w:rPr>
          <w:rFonts w:ascii="Times New Roman" w:hAnsi="Times New Roman" w:cs="Times New Roman"/>
          <w:b/>
          <w:sz w:val="24"/>
          <w:szCs w:val="24"/>
        </w:rPr>
      </w:pPr>
      <w:r w:rsidRPr="00B26A68">
        <w:rPr>
          <w:rFonts w:ascii="Times New Roman" w:hAnsi="Times New Roman" w:cs="Times New Roman"/>
          <w:i/>
          <w:sz w:val="24"/>
          <w:szCs w:val="24"/>
        </w:rPr>
        <w:lastRenderedPageBreak/>
        <w:t>Review of Estimates by an Expert Panel</w:t>
      </w:r>
      <w:r w:rsidRPr="00B26A68">
        <w:rPr>
          <w:rFonts w:ascii="Times New Roman" w:hAnsi="Times New Roman" w:cs="Times New Roman"/>
          <w:b/>
          <w:sz w:val="24"/>
          <w:szCs w:val="24"/>
        </w:rPr>
        <w:t xml:space="preserve"> </w:t>
      </w:r>
      <w:r w:rsidR="005563BA" w:rsidRPr="00284337">
        <w:rPr>
          <w:rFonts w:ascii="Times New Roman" w:hAnsi="Times New Roman" w:cs="Times New Roman"/>
          <w:sz w:val="24"/>
          <w:szCs w:val="24"/>
        </w:rPr>
        <w:t>–</w:t>
      </w:r>
      <w:r w:rsidRPr="00B26A68">
        <w:rPr>
          <w:rFonts w:ascii="Times New Roman" w:hAnsi="Times New Roman" w:cs="Times New Roman"/>
          <w:b/>
          <w:sz w:val="24"/>
          <w:szCs w:val="24"/>
        </w:rPr>
        <w:t xml:space="preserve"> </w:t>
      </w:r>
      <w:r w:rsidRPr="00B26A68">
        <w:rPr>
          <w:rFonts w:ascii="Times New Roman" w:hAnsi="Times New Roman" w:cs="Times New Roman"/>
          <w:sz w:val="24"/>
          <w:szCs w:val="24"/>
        </w:rPr>
        <w:t>Subgrantees may request a FEMA-funded, independent validation of estimates for permanent work subgrants with an estimated Federal share of at least $5 million.</w:t>
      </w:r>
    </w:p>
    <w:p w14:paraId="2EEAFC21" w14:textId="77777777" w:rsidR="00056602" w:rsidRDefault="00056602" w:rsidP="009E2214">
      <w:pPr>
        <w:outlineLvl w:val="0"/>
        <w:rPr>
          <w:b/>
          <w:bCs/>
        </w:rPr>
      </w:pPr>
      <w:r>
        <w:rPr>
          <w:b/>
          <w:bCs/>
        </w:rPr>
        <w:t>Administrative Costs</w:t>
      </w:r>
    </w:p>
    <w:p w14:paraId="2699DD1B" w14:textId="77777777" w:rsidR="009C551C" w:rsidRDefault="00056602" w:rsidP="009E2214">
      <w:pPr>
        <w:tabs>
          <w:tab w:val="left" w:pos="-1440"/>
        </w:tabs>
        <w:rPr>
          <w:color w:val="000000"/>
        </w:rPr>
      </w:pPr>
      <w:r>
        <w:t xml:space="preserve">FEMA also provides funding for costs incurred by States and their subgrantees in administering the PA program.  For disaster or emergency declarations prior to November 13, 2007, the State receives a statutory administrative cost allowance determined according to a formula based on percentages of the aggregate Federal share of funding provided to subgrantees for approved PA projects.  The State awards administrative cost allowances to subgrantees according to a formula based on percentages of the subgrantees’ net eligible project costs.  </w:t>
      </w:r>
      <w:r w:rsidRPr="000B54D0">
        <w:rPr>
          <w:color w:val="000000"/>
        </w:rPr>
        <w:t>All administrative costs must be supported with source documentation.</w:t>
      </w:r>
      <w:r>
        <w:rPr>
          <w:color w:val="000000"/>
        </w:rPr>
        <w:t xml:space="preserve">  </w:t>
      </w:r>
    </w:p>
    <w:p w14:paraId="07D747F2" w14:textId="77C41D1C" w:rsidR="00056602" w:rsidRDefault="00056602" w:rsidP="009E2214">
      <w:pPr>
        <w:tabs>
          <w:tab w:val="left" w:pos="-1440"/>
        </w:tabs>
      </w:pPr>
      <w:r>
        <w:t>For disaster or emergency declarations on or after November 13, 2007, the State is eligible for management costs to administer the PA program.  Management costs are defined as indirect costs, administrative expenses, and any other expenses not directly chargeable to a specific project.  The available funding for management costs is based on a 3.34 percentage rate for disaster declarations and a 3.90 percentage rate for emergency declarations.  The rate is applied to the projected Federal share of project funding.  The State’s request for management costs is subject to FEMA approval. A subgrantee may use management cost funding made available by the State, as prescribed in the State administrative plan, to administer PA projects (interim final rule, 44 CFR parts 206 and 207, effective November 13, 2007, 72 FR 57876 through 57878, October 11, 2007).</w:t>
      </w:r>
    </w:p>
    <w:p w14:paraId="68EFCD1A" w14:textId="77777777" w:rsidR="00056602" w:rsidRDefault="00056602" w:rsidP="00450AC2">
      <w:pPr>
        <w:outlineLvl w:val="0"/>
      </w:pPr>
      <w:r>
        <w:rPr>
          <w:b/>
          <w:bCs/>
        </w:rPr>
        <w:t>Source of Governing Requirements</w:t>
      </w:r>
    </w:p>
    <w:p w14:paraId="529C5581" w14:textId="77777777" w:rsidR="00056602" w:rsidRDefault="00056602" w:rsidP="00450AC2">
      <w:r>
        <w:t xml:space="preserve">This program is authorized by 42 USC 5121 </w:t>
      </w:r>
      <w:r>
        <w:rPr>
          <w:i/>
          <w:iCs/>
        </w:rPr>
        <w:t>et seq</w:t>
      </w:r>
      <w:r>
        <w:t>.  Program regulations issued by FEMA are codified at 44 CFR sections 206.200 through 206.349.</w:t>
      </w:r>
    </w:p>
    <w:p w14:paraId="528927C1" w14:textId="77777777" w:rsidR="00056602" w:rsidRDefault="00056602" w:rsidP="009E2214">
      <w:pPr>
        <w:outlineLvl w:val="0"/>
      </w:pPr>
      <w:r>
        <w:rPr>
          <w:b/>
          <w:bCs/>
        </w:rPr>
        <w:t>Availability of Other Program Information</w:t>
      </w:r>
    </w:p>
    <w:p w14:paraId="72C6F48C" w14:textId="77777777" w:rsidR="00056602" w:rsidRDefault="00056602" w:rsidP="009E2214">
      <w:r>
        <w:t>Additional program information is available on the</w:t>
      </w:r>
      <w:r w:rsidR="009D501B">
        <w:t xml:space="preserve"> FEMA web</w:t>
      </w:r>
      <w:r>
        <w:t>site at</w:t>
      </w:r>
      <w:r w:rsidR="00470E0C">
        <w:t>:</w:t>
      </w:r>
      <w:r>
        <w:t xml:space="preserve"> </w:t>
      </w:r>
      <w:hyperlink r:id="rId9" w:history="1">
        <w:r w:rsidR="001F12EF" w:rsidRPr="001F12EF">
          <w:rPr>
            <w:rStyle w:val="Hyperlink"/>
          </w:rPr>
          <w:t>http://www.fema.gov/public-assistance-local-state-tribal-and-non-profit</w:t>
        </w:r>
      </w:hyperlink>
      <w:r>
        <w:t>.</w:t>
      </w:r>
    </w:p>
    <w:p w14:paraId="55A08C1B" w14:textId="77777777" w:rsidR="00056602" w:rsidRDefault="00056602" w:rsidP="009E2214">
      <w:r>
        <w:rPr>
          <w:b/>
          <w:bCs/>
        </w:rPr>
        <w:t>III.</w:t>
      </w:r>
      <w:r>
        <w:rPr>
          <w:b/>
          <w:bCs/>
        </w:rPr>
        <w:tab/>
        <w:t>COMPLIANCE REQUIREMENTS</w:t>
      </w:r>
    </w:p>
    <w:p w14:paraId="34BC9EAE" w14:textId="4349C2B9" w:rsidR="00D7252E" w:rsidRDefault="00D7252E" w:rsidP="00D7252E">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p w14:paraId="5EBADF1A" w14:textId="77777777" w:rsidR="00D7252E" w:rsidRDefault="00D7252E" w:rsidP="00D7252E">
      <w:pPr>
        <w:rPr>
          <w:b/>
          <w:bCs/>
        </w:rPr>
      </w:pP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D7252E" w:rsidRPr="007C36CD" w14:paraId="38AA06F0" w14:textId="77777777" w:rsidTr="00BE236C">
        <w:tc>
          <w:tcPr>
            <w:tcW w:w="900" w:type="dxa"/>
            <w:hideMark/>
          </w:tcPr>
          <w:p w14:paraId="43204171"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lastRenderedPageBreak/>
              <w:t>A.</w:t>
            </w:r>
          </w:p>
          <w:p w14:paraId="477B69C9"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649626C6"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B.</w:t>
            </w:r>
          </w:p>
          <w:p w14:paraId="6F5A6334"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799CA398"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C.</w:t>
            </w:r>
          </w:p>
          <w:p w14:paraId="093CF908"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032A504C"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E.</w:t>
            </w:r>
          </w:p>
          <w:p w14:paraId="0957236B"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6EF66F00"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F.</w:t>
            </w:r>
          </w:p>
          <w:p w14:paraId="7F0D4D7F"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3C62F174"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G.</w:t>
            </w:r>
          </w:p>
          <w:p w14:paraId="3AD5D3C5"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382A043C"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H.</w:t>
            </w:r>
          </w:p>
          <w:p w14:paraId="3EF13934"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472C5DB3"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I.</w:t>
            </w:r>
          </w:p>
          <w:p w14:paraId="0C1385C1"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63FEFBE7"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J.</w:t>
            </w:r>
          </w:p>
          <w:p w14:paraId="4812AF00"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0FD063ED"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L.</w:t>
            </w:r>
          </w:p>
          <w:p w14:paraId="4896352B"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458283B2"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M.</w:t>
            </w:r>
          </w:p>
          <w:p w14:paraId="3B030BAC"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7EE38E50"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N.</w:t>
            </w:r>
          </w:p>
          <w:p w14:paraId="7AD7822E"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Special Tests and Provisions</w:t>
            </w:r>
          </w:p>
        </w:tc>
      </w:tr>
      <w:tr w:rsidR="00D7252E" w:rsidRPr="007C36CD" w14:paraId="33E7CD47" w14:textId="77777777" w:rsidTr="00BE236C">
        <w:tc>
          <w:tcPr>
            <w:tcW w:w="900" w:type="dxa"/>
          </w:tcPr>
          <w:p w14:paraId="6DD8F223" w14:textId="65276F0A"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810" w:type="dxa"/>
          </w:tcPr>
          <w:p w14:paraId="36CE1776" w14:textId="34DBBE02"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1B66CF54" w14:textId="6D15115D"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810" w:type="dxa"/>
          </w:tcPr>
          <w:p w14:paraId="522C8B9A" w14:textId="5C48174B"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11F474BB" w14:textId="73B725E4" w:rsidR="00D7252E" w:rsidRPr="007F5830" w:rsidRDefault="00C71937" w:rsidP="00374F6C">
            <w:pPr>
              <w:spacing w:before="40" w:after="160"/>
              <w:jc w:val="center"/>
              <w:rPr>
                <w:rFonts w:eastAsia="Calibri"/>
                <w:bCs/>
                <w:iCs/>
                <w:sz w:val="20"/>
                <w:szCs w:val="20"/>
              </w:rPr>
            </w:pPr>
            <w:r>
              <w:rPr>
                <w:rFonts w:eastAsia="Calibri"/>
                <w:bCs/>
                <w:iCs/>
                <w:sz w:val="20"/>
                <w:szCs w:val="20"/>
              </w:rPr>
              <w:t>N</w:t>
            </w:r>
          </w:p>
        </w:tc>
        <w:tc>
          <w:tcPr>
            <w:tcW w:w="900" w:type="dxa"/>
          </w:tcPr>
          <w:p w14:paraId="6A2EDEFB" w14:textId="54B2717C"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232D341A" w14:textId="5CB888B2"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18349906" w14:textId="54359283" w:rsidR="00D7252E" w:rsidRPr="007F5830" w:rsidRDefault="00C71937" w:rsidP="00374F6C">
            <w:pPr>
              <w:spacing w:before="40" w:after="160"/>
              <w:jc w:val="center"/>
              <w:rPr>
                <w:rFonts w:eastAsia="Calibri"/>
                <w:bCs/>
                <w:iCs/>
                <w:sz w:val="20"/>
                <w:szCs w:val="20"/>
              </w:rPr>
            </w:pPr>
            <w:r>
              <w:rPr>
                <w:rFonts w:eastAsia="Calibri"/>
                <w:bCs/>
                <w:iCs/>
                <w:sz w:val="20"/>
                <w:szCs w:val="20"/>
              </w:rPr>
              <w:t>N</w:t>
            </w:r>
          </w:p>
        </w:tc>
        <w:tc>
          <w:tcPr>
            <w:tcW w:w="720" w:type="dxa"/>
          </w:tcPr>
          <w:p w14:paraId="34DF2AE9" w14:textId="2642A101" w:rsidR="00D7252E" w:rsidRPr="007F5830" w:rsidRDefault="00C71937" w:rsidP="00374F6C">
            <w:pPr>
              <w:spacing w:before="40" w:after="160"/>
              <w:jc w:val="center"/>
              <w:rPr>
                <w:rFonts w:eastAsia="Calibri"/>
                <w:bCs/>
                <w:iCs/>
                <w:sz w:val="20"/>
                <w:szCs w:val="20"/>
              </w:rPr>
            </w:pPr>
            <w:r>
              <w:rPr>
                <w:rFonts w:eastAsia="Calibri"/>
                <w:bCs/>
                <w:iCs/>
                <w:sz w:val="20"/>
                <w:szCs w:val="20"/>
              </w:rPr>
              <w:t>N</w:t>
            </w:r>
          </w:p>
        </w:tc>
        <w:tc>
          <w:tcPr>
            <w:tcW w:w="810" w:type="dxa"/>
          </w:tcPr>
          <w:p w14:paraId="707DFB2B" w14:textId="2E610F06"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2C198840" w14:textId="5C8A2468"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c>
          <w:tcPr>
            <w:tcW w:w="900" w:type="dxa"/>
          </w:tcPr>
          <w:p w14:paraId="6A8CBAD1" w14:textId="3AA391B5" w:rsidR="00D7252E" w:rsidRPr="007F5830" w:rsidRDefault="00C71937" w:rsidP="00374F6C">
            <w:pPr>
              <w:spacing w:before="40" w:after="160"/>
              <w:jc w:val="center"/>
              <w:rPr>
                <w:rFonts w:eastAsia="Calibri"/>
                <w:bCs/>
                <w:iCs/>
                <w:sz w:val="20"/>
                <w:szCs w:val="20"/>
              </w:rPr>
            </w:pPr>
            <w:r>
              <w:rPr>
                <w:rFonts w:eastAsia="Calibri"/>
                <w:bCs/>
                <w:iCs/>
                <w:sz w:val="20"/>
                <w:szCs w:val="20"/>
              </w:rPr>
              <w:t>Y</w:t>
            </w:r>
          </w:p>
        </w:tc>
      </w:tr>
    </w:tbl>
    <w:p w14:paraId="39776724" w14:textId="77777777" w:rsidR="00D7252E" w:rsidRDefault="00D7252E" w:rsidP="00374F6C">
      <w:pPr>
        <w:spacing w:after="0"/>
        <w:jc w:val="center"/>
        <w:outlineLvl w:val="0"/>
        <w:rPr>
          <w:b/>
          <w:bCs/>
        </w:rPr>
      </w:pPr>
    </w:p>
    <w:p w14:paraId="27BF59D7" w14:textId="77777777" w:rsidR="00056602" w:rsidRDefault="00056602" w:rsidP="00374F6C">
      <w:pPr>
        <w:spacing w:after="0"/>
        <w:outlineLvl w:val="0"/>
        <w:rPr>
          <w:b/>
          <w:bCs/>
        </w:rPr>
      </w:pPr>
      <w:r>
        <w:rPr>
          <w:b/>
          <w:bCs/>
        </w:rPr>
        <w:t>A.</w:t>
      </w:r>
      <w:r>
        <w:rPr>
          <w:b/>
          <w:bCs/>
        </w:rPr>
        <w:tab/>
        <w:t>Activities Allowed or Unallowed</w:t>
      </w:r>
    </w:p>
    <w:p w14:paraId="33402EC5" w14:textId="77777777" w:rsidR="00374F6C" w:rsidRDefault="00374F6C" w:rsidP="00374F6C">
      <w:pPr>
        <w:spacing w:after="0"/>
        <w:outlineLvl w:val="0"/>
      </w:pPr>
    </w:p>
    <w:p w14:paraId="72E66764" w14:textId="77777777" w:rsidR="00056602" w:rsidRDefault="00056602" w:rsidP="001D07D9">
      <w:pPr>
        <w:ind w:left="720"/>
      </w:pPr>
      <w:r>
        <w:t xml:space="preserve">The allowed activities for the PA program are for the approved project as described on the </w:t>
      </w:r>
      <w:smartTag w:uri="urn:schemas-microsoft-com:office:smarttags" w:element="State">
        <w:r>
          <w:t>PW</w:t>
        </w:r>
      </w:smartTag>
      <w:r>
        <w:t xml:space="preserve"> and supporting documentation.  The approved project may be repair or replacement of the damaged facility, an improved project, or an alternate project </w:t>
      </w:r>
      <w:r>
        <w:br/>
        <w:t>(44 CFR section 206.203).</w:t>
      </w:r>
    </w:p>
    <w:p w14:paraId="0C1962D0" w14:textId="77777777" w:rsidR="00056602" w:rsidRDefault="00056602" w:rsidP="001D07D9">
      <w:pPr>
        <w:outlineLvl w:val="0"/>
      </w:pPr>
      <w:r>
        <w:rPr>
          <w:b/>
          <w:bCs/>
        </w:rPr>
        <w:t>B.</w:t>
      </w:r>
      <w:r>
        <w:rPr>
          <w:b/>
          <w:bCs/>
        </w:rPr>
        <w:tab/>
        <w:t>Allowable Costs/Cost Principles</w:t>
      </w:r>
    </w:p>
    <w:p w14:paraId="44F0863A" w14:textId="77777777" w:rsidR="00056602" w:rsidRDefault="00056602" w:rsidP="001D07D9">
      <w:pPr>
        <w:tabs>
          <w:tab w:val="left" w:pos="-1440"/>
        </w:tabs>
        <w:ind w:left="1440" w:hanging="720"/>
      </w:pPr>
      <w:r>
        <w:t>1.</w:t>
      </w:r>
      <w:r>
        <w:tab/>
      </w:r>
      <w:r w:rsidRPr="00374F6C">
        <w:rPr>
          <w:b/>
          <w:i/>
          <w:iCs/>
        </w:rPr>
        <w:t>Equipment Usage</w:t>
      </w:r>
      <w:r>
        <w:t xml:space="preserve"> – The PA program restricts eligible direct costs for applicant-owned equipment used to perform eligible work to reasonable rates that were established under State guidelines, or when the hourly rate exceeds $75, rates may be determined on a case-by-case basis by FEMA.  When local guidelines are used to establish equipment rates, reimbursement is based on those rates or rates in a Schedule of Equipment Rates published by FEMA, whichever is lower.  Provision is also made when no rates are established or the entity wishes to claim an equipment rate that exceeds the FEMA Schedule (44 CFR section 206.228(a)(1)).</w:t>
      </w:r>
    </w:p>
    <w:p w14:paraId="5A5A2F8B" w14:textId="77777777" w:rsidR="00056602" w:rsidRDefault="00056602" w:rsidP="001D07D9">
      <w:pPr>
        <w:tabs>
          <w:tab w:val="left" w:pos="-1440"/>
        </w:tabs>
        <w:ind w:left="1440" w:hanging="720"/>
      </w:pPr>
      <w:r>
        <w:t>2.</w:t>
      </w:r>
      <w:r>
        <w:tab/>
      </w:r>
      <w:r w:rsidRPr="00450AC2">
        <w:rPr>
          <w:b/>
          <w:i/>
          <w:iCs/>
        </w:rPr>
        <w:t>Administrative Costs</w:t>
      </w:r>
      <w:r>
        <w:t xml:space="preserve"> </w:t>
      </w:r>
    </w:p>
    <w:p w14:paraId="50DEC47B" w14:textId="77777777" w:rsidR="00056602" w:rsidRDefault="00056602" w:rsidP="001D07D9">
      <w:pPr>
        <w:tabs>
          <w:tab w:val="left" w:pos="-1440"/>
        </w:tabs>
        <w:ind w:left="2160" w:hanging="720"/>
      </w:pPr>
      <w:r>
        <w:t>a.</w:t>
      </w:r>
      <w:r>
        <w:tab/>
      </w:r>
      <w:r>
        <w:rPr>
          <w:i/>
          <w:iCs/>
        </w:rPr>
        <w:t>Grantee</w:t>
      </w:r>
      <w:r>
        <w:t xml:space="preserve"> </w:t>
      </w:r>
    </w:p>
    <w:p w14:paraId="0D248C7C" w14:textId="77777777" w:rsidR="00056602" w:rsidRDefault="00056602" w:rsidP="001D07D9">
      <w:pPr>
        <w:tabs>
          <w:tab w:val="left" w:pos="-1440"/>
        </w:tabs>
        <w:ind w:left="2160"/>
      </w:pPr>
      <w:r>
        <w:t xml:space="preserve">For major disaster or emergency declarations before November 13, 2007, a State may use funds made available by FEMA under its administrative cost allowance only for extraordinary direct costs of preparing </w:t>
      </w:r>
      <w:smartTag w:uri="urn:schemas-microsoft-com:office:smarttags" w:element="State">
        <w:r>
          <w:t>PW</w:t>
        </w:r>
      </w:smartTag>
      <w:r>
        <w:t>s, final inspection reports, project applications, etc., and for making final audits and related field inspections.  Specific cost items allowable for such purposes include overtime pay, per diem and travel expenses for State employees, but not regular (straight time) salaries.  Cost items not eligible for funding from the State’s administrative cost allowance, but still related to managing the program, may be funded from the grant if prescribed in an approved PW (44 CFR sections 206.228(a)(2) and (a)(3) and interim final rule, 44 CFR section 207.9, effective November 13, 2007 (72 FR 57878, October 11, 2007)).</w:t>
      </w:r>
    </w:p>
    <w:p w14:paraId="4E2E36CE" w14:textId="77777777" w:rsidR="00056602" w:rsidRDefault="00056602" w:rsidP="009E2214">
      <w:pPr>
        <w:tabs>
          <w:tab w:val="left" w:pos="-1440"/>
        </w:tabs>
        <w:ind w:left="2160"/>
      </w:pPr>
      <w:r>
        <w:t xml:space="preserve">For major disaster or emergency declarations on or after November 13, 2007, a State may request funds from FEMA for management costs, which include indirect costs, administrative expenses, and any other expenses not directly chargeable to a specific project that are reasonably incurred in administering and managing the program within dollar ceilings and </w:t>
      </w:r>
      <w:r>
        <w:lastRenderedPageBreak/>
        <w:t xml:space="preserve">timeframes established by regulation (interim final rule, </w:t>
      </w:r>
      <w:r w:rsidR="00EA39B6">
        <w:t xml:space="preserve">44 CFR sections 206.207 and 206.228 </w:t>
      </w:r>
      <w:r>
        <w:t xml:space="preserve">and </w:t>
      </w:r>
      <w:r w:rsidR="00EA39B6">
        <w:t>p</w:t>
      </w:r>
      <w:r w:rsidR="00DF6F89">
        <w:t xml:space="preserve">art </w:t>
      </w:r>
      <w:r>
        <w:t>207, effective November 13, 2007 (72 FR 57876 through 57878, October 11, 2007)).</w:t>
      </w:r>
    </w:p>
    <w:p w14:paraId="5DF95ACB" w14:textId="4C6299AF" w:rsidR="00056602" w:rsidRDefault="00056602" w:rsidP="00FC5249">
      <w:pPr>
        <w:tabs>
          <w:tab w:val="left" w:pos="-1440"/>
        </w:tabs>
        <w:ind w:left="2160" w:hanging="720"/>
      </w:pPr>
      <w:r>
        <w:t>b.</w:t>
      </w:r>
      <w:r>
        <w:tab/>
      </w:r>
      <w:r>
        <w:rPr>
          <w:i/>
          <w:iCs/>
        </w:rPr>
        <w:t>Subgrantee</w:t>
      </w:r>
    </w:p>
    <w:p w14:paraId="421D1568" w14:textId="77777777" w:rsidR="00056602" w:rsidRDefault="00056602" w:rsidP="00FC5249">
      <w:pPr>
        <w:tabs>
          <w:tab w:val="left" w:pos="-1440"/>
        </w:tabs>
        <w:ind w:left="2160"/>
      </w:pPr>
      <w:r>
        <w:t>For major disaster or emergency declarations prior to November 13, 2007, a subgrantee may use funds made available in its administrative cost allowance for necessary costs to request, obtain, and administer its subgrant.  No other direct or indirect costs are allowable at the subgrantee level (44 CFR sections 206.228(a)(</w:t>
      </w:r>
      <w:r w:rsidR="00670CDB">
        <w:t>3</w:t>
      </w:r>
      <w:r>
        <w:t>) and</w:t>
      </w:r>
      <w:r w:rsidRPr="002E29ED">
        <w:t xml:space="preserve"> </w:t>
      </w:r>
      <w:r>
        <w:t>interim final rule,</w:t>
      </w:r>
      <w:r>
        <w:br/>
        <w:t>44 CFR section 207.9, effective November 13, 2007 (72 FR 57878, October 11, 2007)).</w:t>
      </w:r>
    </w:p>
    <w:p w14:paraId="70CB13B1" w14:textId="77777777" w:rsidR="00056602" w:rsidRDefault="00056602" w:rsidP="009E2214">
      <w:pPr>
        <w:tabs>
          <w:tab w:val="left" w:pos="-1440"/>
        </w:tabs>
        <w:ind w:left="2160"/>
      </w:pPr>
      <w:r>
        <w:t xml:space="preserve">For disaster or emergency declarations on or after November 13, 2007, a subgrantee may use management cost funding made available by the State, as prescribed in the State administrative plan, to administer PA projects (interim final rule, </w:t>
      </w:r>
      <w:r w:rsidR="00EA39B6">
        <w:t xml:space="preserve">44 CFR sections 206.207 and </w:t>
      </w:r>
      <w:r w:rsidR="00EA39B6" w:rsidRPr="00EA39B6">
        <w:t xml:space="preserve">206.228 </w:t>
      </w:r>
      <w:r w:rsidR="00DF6F89">
        <w:t xml:space="preserve">and </w:t>
      </w:r>
      <w:r w:rsidR="00EA39B6">
        <w:t>p</w:t>
      </w:r>
      <w:r w:rsidR="00DF6F89">
        <w:t>art 207</w:t>
      </w:r>
      <w:r>
        <w:t>, effective November 13, 2007, 72 FR 57876 through 57878, October 11, 2007).</w:t>
      </w:r>
    </w:p>
    <w:p w14:paraId="39BF5022" w14:textId="77777777" w:rsidR="00056602" w:rsidRDefault="00056602" w:rsidP="00527812">
      <w:pPr>
        <w:tabs>
          <w:tab w:val="left" w:pos="-1440"/>
        </w:tabs>
        <w:ind w:left="1440" w:hanging="720"/>
      </w:pPr>
      <w:r>
        <w:t>3.</w:t>
      </w:r>
      <w:r>
        <w:tab/>
      </w:r>
      <w:r w:rsidRPr="00374F6C">
        <w:rPr>
          <w:b/>
          <w:i/>
          <w:iCs/>
        </w:rPr>
        <w:t>Force Account Labor Costs</w:t>
      </w:r>
      <w:r>
        <w:t xml:space="preserve"> – The straight- or regular-time salaries and benefits of a subgrantee’s permanently employed personnel are not eligible in calculating the cost of eligible work for emergency protective services or debris removal under </w:t>
      </w:r>
      <w:r w:rsidR="000930C9">
        <w:t>S</w:t>
      </w:r>
      <w:r>
        <w:t xml:space="preserve">ections 403 and 407 of the Stafford Act (42 USC 5170b and 5173, respectively). For performance of eligible permanent restoration under </w:t>
      </w:r>
      <w:r w:rsidR="000930C9">
        <w:t>S</w:t>
      </w:r>
      <w:r>
        <w:t>ection 406 of the Stafford Act (42 USC 5172), straight-time salaries and benefits of a subgrantee’s permanently employed personnel are eligible (44 CFR section 206.228(a)(</w:t>
      </w:r>
      <w:r w:rsidR="00EA39B6">
        <w:t>2</w:t>
      </w:r>
      <w:r>
        <w:t>)).</w:t>
      </w:r>
    </w:p>
    <w:p w14:paraId="7B71F24D" w14:textId="77777777" w:rsidR="00056602" w:rsidRDefault="00056602" w:rsidP="00527812">
      <w:pPr>
        <w:tabs>
          <w:tab w:val="left" w:pos="-1440"/>
        </w:tabs>
        <w:ind w:left="1440" w:hanging="720"/>
      </w:pPr>
      <w:r>
        <w:t>4.</w:t>
      </w:r>
      <w:r>
        <w:tab/>
      </w:r>
      <w:r w:rsidRPr="00374F6C">
        <w:rPr>
          <w:b/>
          <w:i/>
          <w:iCs/>
        </w:rPr>
        <w:t>Insurance and Other Recoveries</w:t>
      </w:r>
      <w:r>
        <w:t xml:space="preserve"> – Auditors are advised that there are likely to be amounts from insurance settlements, salvage, or other sources that must be considered in determining allowable costs because allowable costs must be net of applicable credits (42 USC 5155).</w:t>
      </w:r>
    </w:p>
    <w:p w14:paraId="5D697EE3" w14:textId="77777777" w:rsidR="00056602" w:rsidRDefault="00056602" w:rsidP="009E2214">
      <w:pPr>
        <w:keepNext/>
        <w:keepLines/>
        <w:tabs>
          <w:tab w:val="left" w:pos="-1440"/>
        </w:tabs>
        <w:ind w:left="720" w:hanging="720"/>
      </w:pPr>
      <w:r>
        <w:rPr>
          <w:b/>
          <w:bCs/>
        </w:rPr>
        <w:t>E.</w:t>
      </w:r>
      <w:r>
        <w:rPr>
          <w:b/>
          <w:bCs/>
        </w:rPr>
        <w:tab/>
        <w:t>Eligibility</w:t>
      </w:r>
    </w:p>
    <w:p w14:paraId="3335C1AD" w14:textId="77777777" w:rsidR="00056602" w:rsidRDefault="00056602" w:rsidP="009E2214">
      <w:pPr>
        <w:keepNext/>
        <w:keepLines/>
        <w:tabs>
          <w:tab w:val="left" w:pos="-1440"/>
        </w:tabs>
        <w:ind w:left="1440" w:hanging="720"/>
      </w:pPr>
      <w:r>
        <w:rPr>
          <w:b/>
          <w:bCs/>
        </w:rPr>
        <w:t>1.</w:t>
      </w:r>
      <w:r>
        <w:rPr>
          <w:b/>
          <w:bCs/>
        </w:rPr>
        <w:tab/>
        <w:t>Eligibility for Individual</w:t>
      </w:r>
      <w:r>
        <w:t>s – Not Applicable</w:t>
      </w:r>
    </w:p>
    <w:p w14:paraId="3053E350" w14:textId="77777777" w:rsidR="00056602" w:rsidRDefault="00056602">
      <w:pPr>
        <w:tabs>
          <w:tab w:val="left" w:pos="-1440"/>
        </w:tabs>
        <w:ind w:left="1440" w:hanging="720"/>
      </w:pPr>
      <w:r>
        <w:rPr>
          <w:b/>
          <w:bCs/>
        </w:rPr>
        <w:t>2.</w:t>
      </w:r>
      <w:r>
        <w:rPr>
          <w:b/>
          <w:bCs/>
        </w:rPr>
        <w:tab/>
        <w:t>Eligibility for Group of Individuals or Area of Service Delivery</w:t>
      </w:r>
      <w:r>
        <w:t xml:space="preserve"> – Not Applicable</w:t>
      </w:r>
    </w:p>
    <w:p w14:paraId="1D444942" w14:textId="77777777" w:rsidR="00056602" w:rsidRDefault="00056602">
      <w:pPr>
        <w:tabs>
          <w:tab w:val="left" w:pos="-1440"/>
        </w:tabs>
        <w:ind w:left="1440" w:hanging="720"/>
      </w:pPr>
      <w:r>
        <w:rPr>
          <w:b/>
          <w:bCs/>
        </w:rPr>
        <w:t>3.</w:t>
      </w:r>
      <w:r>
        <w:rPr>
          <w:b/>
          <w:bCs/>
        </w:rPr>
        <w:tab/>
        <w:t>Eligibility for Subrecipients</w:t>
      </w:r>
    </w:p>
    <w:p w14:paraId="5FBB309B" w14:textId="77777777" w:rsidR="00056602" w:rsidRDefault="00056602">
      <w:pPr>
        <w:ind w:left="1440"/>
      </w:pPr>
      <w:r>
        <w:t xml:space="preserve">A State may award subgrants under this program to the following types of entities: </w:t>
      </w:r>
    </w:p>
    <w:p w14:paraId="2B449D07" w14:textId="77777777" w:rsidR="00056602" w:rsidRDefault="00056602">
      <w:pPr>
        <w:tabs>
          <w:tab w:val="left" w:pos="-1440"/>
        </w:tabs>
        <w:ind w:left="2160" w:hanging="720"/>
      </w:pPr>
      <w:r>
        <w:t>a.</w:t>
      </w:r>
      <w:r>
        <w:tab/>
        <w:t>State and local governments;</w:t>
      </w:r>
    </w:p>
    <w:p w14:paraId="0248CC8B" w14:textId="77777777" w:rsidR="00056602" w:rsidRDefault="00056602">
      <w:pPr>
        <w:tabs>
          <w:tab w:val="left" w:pos="-1440"/>
        </w:tabs>
        <w:ind w:left="2160" w:hanging="720"/>
      </w:pPr>
      <w:r>
        <w:lastRenderedPageBreak/>
        <w:t>b.</w:t>
      </w:r>
      <w:r>
        <w:tab/>
        <w:t>Private non-profit organizations or institutions which own or operate a private non-profit facility, such as (but not limited to) an educational, medical, or custodial care facility, or other facility providing essential governmental type services to the public; and</w:t>
      </w:r>
    </w:p>
    <w:p w14:paraId="3DDBB069" w14:textId="77777777" w:rsidR="00056602" w:rsidRDefault="00056602">
      <w:pPr>
        <w:tabs>
          <w:tab w:val="left" w:pos="-1440"/>
        </w:tabs>
        <w:ind w:left="2160" w:hanging="720"/>
      </w:pPr>
      <w:r>
        <w:t>c.</w:t>
      </w:r>
      <w:r>
        <w:tab/>
        <w:t>Indian tribes or authorized tribal organizations and Alaskan Native villages or organizations (but not Alaskan Native Corporations, the ownership of which is vested in private individuals) (44 CFR sections 206.221 and 206.222).</w:t>
      </w:r>
    </w:p>
    <w:p w14:paraId="300B83AA" w14:textId="77777777" w:rsidR="00056602" w:rsidRDefault="00056602" w:rsidP="00FC5249">
      <w:pPr>
        <w:keepNext/>
        <w:keepLines/>
      </w:pPr>
      <w:r>
        <w:rPr>
          <w:b/>
          <w:bCs/>
        </w:rPr>
        <w:t>G.</w:t>
      </w:r>
      <w:r>
        <w:rPr>
          <w:b/>
          <w:bCs/>
        </w:rPr>
        <w:tab/>
        <w:t>Matching, Level of Effort, Earmarking</w:t>
      </w:r>
    </w:p>
    <w:p w14:paraId="44C6E13B" w14:textId="77777777" w:rsidR="00056602" w:rsidRDefault="00056602" w:rsidP="00D7252E">
      <w:pPr>
        <w:widowControl w:val="0"/>
        <w:tabs>
          <w:tab w:val="left" w:pos="-1440"/>
        </w:tabs>
        <w:ind w:left="1440" w:hanging="720"/>
        <w:rPr>
          <w:b/>
          <w:bCs/>
        </w:rPr>
      </w:pPr>
      <w:r>
        <w:rPr>
          <w:b/>
          <w:bCs/>
        </w:rPr>
        <w:t>1.</w:t>
      </w:r>
      <w:r>
        <w:rPr>
          <w:b/>
          <w:bCs/>
        </w:rPr>
        <w:tab/>
        <w:t>Matching</w:t>
      </w:r>
    </w:p>
    <w:p w14:paraId="1CBB716C" w14:textId="77777777" w:rsidR="00056602" w:rsidRPr="006E1149" w:rsidRDefault="00056602" w:rsidP="00D7252E">
      <w:pPr>
        <w:widowControl w:val="0"/>
        <w:tabs>
          <w:tab w:val="left" w:pos="-1440"/>
        </w:tabs>
        <w:ind w:left="2160" w:hanging="720"/>
      </w:pPr>
      <w:r>
        <w:t>a.</w:t>
      </w:r>
      <w:r>
        <w:tab/>
        <w:t>Costs must be on a shared basis, as specified in the FEMA-State Agreement.  In general, the minimum Federal share is 75 percent of eligible costs (44 CFR section 206.65)</w:t>
      </w:r>
      <w:r w:rsidRPr="006E1149">
        <w:t xml:space="preserve">.  The </w:t>
      </w:r>
      <w:r>
        <w:t>non-Federal share that is</w:t>
      </w:r>
      <w:r w:rsidRPr="006E1149">
        <w:t xml:space="preserve"> split between the State and each subgrantee may vary.  The accountability for meeting the matching requirement resides with the State and is determined at the time of project accounting as part of project closeout (</w:t>
      </w:r>
      <w:r>
        <w:t>i.e.</w:t>
      </w:r>
      <w:r w:rsidRPr="006E1149">
        <w:t xml:space="preserve">, the </w:t>
      </w:r>
      <w:r>
        <w:t>non-Federal share</w:t>
      </w:r>
      <w:r w:rsidRPr="006E1149">
        <w:t xml:space="preserve"> does not have to be </w:t>
      </w:r>
      <w:r>
        <w:t>met</w:t>
      </w:r>
      <w:r w:rsidRPr="006E1149">
        <w:t xml:space="preserve"> until the end of the project).</w:t>
      </w:r>
    </w:p>
    <w:p w14:paraId="5DFAFFAB" w14:textId="77777777" w:rsidR="00056602" w:rsidRDefault="00056602" w:rsidP="00083B2A">
      <w:pPr>
        <w:ind w:left="2160"/>
      </w:pPr>
      <w:r>
        <w:t>However, matching requirements for alternate projects vary from this general rule and fall into one of two categories:</w:t>
      </w:r>
    </w:p>
    <w:p w14:paraId="012F2F3F" w14:textId="77777777" w:rsidR="00056602" w:rsidRDefault="00056602" w:rsidP="00083B2A">
      <w:pPr>
        <w:autoSpaceDE w:val="0"/>
        <w:autoSpaceDN w:val="0"/>
        <w:adjustRightInd w:val="0"/>
        <w:ind w:left="2880" w:hanging="720"/>
      </w:pPr>
      <w:r>
        <w:t>(1)</w:t>
      </w:r>
      <w:r>
        <w:tab/>
      </w:r>
      <w:r w:rsidRPr="002E29ED">
        <w:rPr>
          <w:i/>
        </w:rPr>
        <w:t>Public facilities</w:t>
      </w:r>
      <w:r w:rsidRPr="007261E9">
        <w:t xml:space="preserve">.  Eligible costs for </w:t>
      </w:r>
      <w:r>
        <w:t>p</w:t>
      </w:r>
      <w:r w:rsidRPr="007261E9">
        <w:t>ublic facilities are 90</w:t>
      </w:r>
      <w:r>
        <w:t xml:space="preserve"> percent</w:t>
      </w:r>
      <w:r w:rsidRPr="007261E9">
        <w:t xml:space="preserve"> of the approved</w:t>
      </w:r>
      <w:r>
        <w:t xml:space="preserve"> Federal</w:t>
      </w:r>
      <w:r w:rsidRPr="007261E9">
        <w:t xml:space="preserve"> estimate of</w:t>
      </w:r>
      <w:r>
        <w:t xml:space="preserve"> eligible repair/replacement costs of the damaged facility or the actual fixed cost of completing the alternate project(s), whichever is less.  The appropriate Federal share will then be applied to the lesser amount.</w:t>
      </w:r>
    </w:p>
    <w:p w14:paraId="0A343B7D" w14:textId="77777777" w:rsidR="00056602" w:rsidRDefault="00056602" w:rsidP="003333A4">
      <w:pPr>
        <w:autoSpaceDE w:val="0"/>
        <w:autoSpaceDN w:val="0"/>
        <w:adjustRightInd w:val="0"/>
        <w:ind w:left="2880"/>
      </w:pPr>
      <w:r>
        <w:t>Basic Calculation:</w:t>
      </w:r>
    </w:p>
    <w:p w14:paraId="10DAD559" w14:textId="77777777" w:rsidR="00056602" w:rsidRDefault="00056602" w:rsidP="003333A4">
      <w:pPr>
        <w:autoSpaceDE w:val="0"/>
        <w:autoSpaceDN w:val="0"/>
        <w:adjustRightInd w:val="0"/>
        <w:ind w:left="2880"/>
      </w:pPr>
      <w:r>
        <w:t>$100,000 – Eligible damage</w:t>
      </w:r>
    </w:p>
    <w:p w14:paraId="36377962" w14:textId="77777777" w:rsidR="00056602" w:rsidRDefault="00056602" w:rsidP="003333A4">
      <w:pPr>
        <w:autoSpaceDE w:val="0"/>
        <w:autoSpaceDN w:val="0"/>
        <w:adjustRightInd w:val="0"/>
        <w:ind w:left="2880"/>
      </w:pPr>
      <w:r w:rsidRPr="00D20733">
        <w:t xml:space="preserve">____ </w:t>
      </w:r>
      <w:r w:rsidRPr="00233AFF">
        <w:t>× .75</w:t>
      </w:r>
      <w:r>
        <w:t xml:space="preserve"> - % Federal Cost Share</w:t>
      </w:r>
    </w:p>
    <w:p w14:paraId="09386FB9" w14:textId="77777777" w:rsidR="00056602" w:rsidRDefault="00056602" w:rsidP="003333A4">
      <w:pPr>
        <w:autoSpaceDE w:val="0"/>
        <w:autoSpaceDN w:val="0"/>
        <w:adjustRightInd w:val="0"/>
        <w:ind w:left="2880"/>
      </w:pPr>
      <w:r>
        <w:t>$ 75,000 – Subtotal</w:t>
      </w:r>
    </w:p>
    <w:p w14:paraId="5522B02C" w14:textId="77777777" w:rsidR="00056602" w:rsidRDefault="00056602" w:rsidP="003333A4">
      <w:pPr>
        <w:autoSpaceDE w:val="0"/>
        <w:autoSpaceDN w:val="0"/>
        <w:adjustRightInd w:val="0"/>
        <w:ind w:left="2880"/>
      </w:pPr>
      <w:r w:rsidRPr="00D20733">
        <w:t>___</w:t>
      </w:r>
      <w:r>
        <w:t>_</w:t>
      </w:r>
      <w:r w:rsidRPr="00D20733">
        <w:t xml:space="preserve"> </w:t>
      </w:r>
      <w:r w:rsidRPr="00D30306">
        <w:t>×</w:t>
      </w:r>
      <w:r>
        <w:t xml:space="preserve"> </w:t>
      </w:r>
      <w:r w:rsidRPr="00D30306">
        <w:t>.90</w:t>
      </w:r>
      <w:r>
        <w:t xml:space="preserve"> – of Federal Cost Share</w:t>
      </w:r>
    </w:p>
    <w:p w14:paraId="2ECD6905" w14:textId="77777777" w:rsidR="00056602" w:rsidRDefault="00056602" w:rsidP="00110170">
      <w:pPr>
        <w:autoSpaceDE w:val="0"/>
        <w:autoSpaceDN w:val="0"/>
        <w:adjustRightInd w:val="0"/>
        <w:ind w:left="2880"/>
      </w:pPr>
      <w:r>
        <w:t xml:space="preserve">$ 67,500 – Maximum amount subgrantee may receive.  </w:t>
      </w:r>
    </w:p>
    <w:p w14:paraId="1942A0E9" w14:textId="77777777" w:rsidR="00056602" w:rsidRDefault="00056602" w:rsidP="00083B2A">
      <w:pPr>
        <w:autoSpaceDE w:val="0"/>
        <w:autoSpaceDN w:val="0"/>
        <w:adjustRightInd w:val="0"/>
        <w:ind w:left="2880"/>
      </w:pPr>
      <w:r>
        <w:t>In this example, the subgrantee must spend at least $75,000 on the approved alternate project to receive $67,500.  If the subgrantee spends less than the alternate project amount, then the Federal cost share would be 75 percent of the actual amount spent.</w:t>
      </w:r>
    </w:p>
    <w:p w14:paraId="2C23D80C" w14:textId="77777777" w:rsidR="00056602" w:rsidRDefault="00056602" w:rsidP="00083B2A">
      <w:pPr>
        <w:autoSpaceDE w:val="0"/>
        <w:autoSpaceDN w:val="0"/>
        <w:adjustRightInd w:val="0"/>
        <w:ind w:left="2880" w:hanging="720"/>
      </w:pPr>
      <w:r>
        <w:rPr>
          <w:lang w:val="fr-FR"/>
        </w:rPr>
        <w:lastRenderedPageBreak/>
        <w:t>(2)</w:t>
      </w:r>
      <w:r>
        <w:rPr>
          <w:lang w:val="fr-FR"/>
        </w:rPr>
        <w:tab/>
      </w:r>
      <w:r w:rsidRPr="002E29ED">
        <w:rPr>
          <w:i/>
          <w:lang w:val="fr-FR"/>
        </w:rPr>
        <w:t xml:space="preserve">Private non-profit facilities. </w:t>
      </w:r>
      <w:r w:rsidRPr="00C049C1">
        <w:rPr>
          <w:lang w:val="fr-FR"/>
        </w:rPr>
        <w:t xml:space="preserve"> </w:t>
      </w:r>
      <w:r>
        <w:t>Eligible costs for PNP facilities are 75 percent of the approved Federal estimate of eligible repair/replacement costs of the damaged facility or the actual fixed cost of completing the alternate project(s), whichever is less.  The appropriate Federal share will then be applied to the lesser amount.</w:t>
      </w:r>
    </w:p>
    <w:p w14:paraId="7624102F" w14:textId="77777777" w:rsidR="00056602" w:rsidRDefault="00056602" w:rsidP="00D7252E">
      <w:pPr>
        <w:autoSpaceDE w:val="0"/>
        <w:autoSpaceDN w:val="0"/>
        <w:adjustRightInd w:val="0"/>
        <w:ind w:left="2880"/>
      </w:pPr>
      <w:r>
        <w:t>Basic Calculation:</w:t>
      </w:r>
    </w:p>
    <w:p w14:paraId="608DD462" w14:textId="77777777" w:rsidR="00056602" w:rsidRDefault="00056602" w:rsidP="00D7252E">
      <w:pPr>
        <w:autoSpaceDE w:val="0"/>
        <w:autoSpaceDN w:val="0"/>
        <w:adjustRightInd w:val="0"/>
        <w:ind w:left="2880"/>
      </w:pPr>
      <w:r>
        <w:t>$100,000 – Eligible damage</w:t>
      </w:r>
    </w:p>
    <w:p w14:paraId="3C199070" w14:textId="77777777" w:rsidR="00056602" w:rsidRDefault="00056602" w:rsidP="00D7252E">
      <w:pPr>
        <w:autoSpaceDE w:val="0"/>
        <w:autoSpaceDN w:val="0"/>
        <w:adjustRightInd w:val="0"/>
        <w:ind w:left="2880"/>
      </w:pPr>
      <w:r>
        <w:t xml:space="preserve">____ </w:t>
      </w:r>
      <w:r w:rsidRPr="000A7D6C">
        <w:t>× .75</w:t>
      </w:r>
      <w:r>
        <w:t xml:space="preserve"> - % Federal Cost Share</w:t>
      </w:r>
    </w:p>
    <w:p w14:paraId="3BC6F48D" w14:textId="77777777" w:rsidR="00056602" w:rsidRDefault="00056602" w:rsidP="00D7252E">
      <w:pPr>
        <w:autoSpaceDE w:val="0"/>
        <w:autoSpaceDN w:val="0"/>
        <w:adjustRightInd w:val="0"/>
        <w:ind w:left="2880"/>
      </w:pPr>
      <w:r>
        <w:t>$ 75,000 – Subtotal</w:t>
      </w:r>
    </w:p>
    <w:p w14:paraId="5AA09339" w14:textId="77777777" w:rsidR="00056602" w:rsidRDefault="00056602" w:rsidP="00D7252E">
      <w:pPr>
        <w:autoSpaceDE w:val="0"/>
        <w:autoSpaceDN w:val="0"/>
        <w:adjustRightInd w:val="0"/>
        <w:ind w:left="2880"/>
      </w:pPr>
      <w:r>
        <w:t>____</w:t>
      </w:r>
      <w:r w:rsidRPr="00D20733">
        <w:t xml:space="preserve"> </w:t>
      </w:r>
      <w:r w:rsidRPr="000A7D6C">
        <w:t>× .75</w:t>
      </w:r>
      <w:r>
        <w:t xml:space="preserve"> – of Federal Cost Share</w:t>
      </w:r>
    </w:p>
    <w:p w14:paraId="5D3CCEEB" w14:textId="77777777" w:rsidR="00056602" w:rsidRDefault="00056602" w:rsidP="00083B2A">
      <w:pPr>
        <w:autoSpaceDE w:val="0"/>
        <w:autoSpaceDN w:val="0"/>
        <w:adjustRightInd w:val="0"/>
        <w:ind w:left="2880"/>
      </w:pPr>
      <w:r>
        <w:t xml:space="preserve">$ 56,250 – Maximum amount subgrantee may receive. </w:t>
      </w:r>
    </w:p>
    <w:p w14:paraId="00DAE5B7" w14:textId="77777777" w:rsidR="00056602" w:rsidRDefault="00056602" w:rsidP="00083B2A">
      <w:pPr>
        <w:autoSpaceDE w:val="0"/>
        <w:autoSpaceDN w:val="0"/>
        <w:adjustRightInd w:val="0"/>
        <w:ind w:left="2880"/>
      </w:pPr>
      <w:r>
        <w:t>In this example, the subgrantee must spend at least $75,000 on the approved alternate project to receive $56,250.  If the subgrantee spends less than the alternate project amount, then the Federal cost share would be 75 percent of the actual amount spent.</w:t>
      </w:r>
    </w:p>
    <w:p w14:paraId="68AB56E0" w14:textId="77777777" w:rsidR="00056602" w:rsidRDefault="00056602" w:rsidP="00083B2A">
      <w:pPr>
        <w:autoSpaceDE w:val="0"/>
        <w:autoSpaceDN w:val="0"/>
        <w:adjustRightInd w:val="0"/>
        <w:ind w:left="2160" w:hanging="720"/>
      </w:pPr>
      <w:r>
        <w:t>b.</w:t>
      </w:r>
      <w:r>
        <w:tab/>
        <w:t>There is no matching requirement for PA grants made to Louisiana, Mississippi, Florida, Alabama and Texas in connection with Hurricanes Katrina, Wilma, Dennis and Rita (Title IV, Pub. L. No. 110-28).</w:t>
      </w:r>
    </w:p>
    <w:p w14:paraId="1030AE77" w14:textId="77777777" w:rsidR="00056602" w:rsidRDefault="00056602">
      <w:pPr>
        <w:ind w:firstLine="720"/>
      </w:pPr>
      <w:r>
        <w:rPr>
          <w:b/>
          <w:bCs/>
        </w:rPr>
        <w:t>2.</w:t>
      </w:r>
      <w:r>
        <w:rPr>
          <w:b/>
          <w:bCs/>
        </w:rPr>
        <w:tab/>
        <w:t>Level of Effort</w:t>
      </w:r>
      <w:r>
        <w:t xml:space="preserve"> – Not Applicable</w:t>
      </w:r>
    </w:p>
    <w:p w14:paraId="36A1B710" w14:textId="77777777" w:rsidR="00056602" w:rsidRDefault="00056602" w:rsidP="00527812">
      <w:pPr>
        <w:ind w:firstLine="720"/>
      </w:pPr>
      <w:r>
        <w:rPr>
          <w:b/>
          <w:bCs/>
        </w:rPr>
        <w:t>3.</w:t>
      </w:r>
      <w:r>
        <w:rPr>
          <w:b/>
          <w:bCs/>
        </w:rPr>
        <w:tab/>
        <w:t>Earmarking</w:t>
      </w:r>
    </w:p>
    <w:p w14:paraId="74F8C49D" w14:textId="0818FAEB" w:rsidR="00A860F5" w:rsidRDefault="00056602" w:rsidP="00A860F5">
      <w:pPr>
        <w:spacing w:after="0"/>
        <w:ind w:left="1440"/>
      </w:pPr>
      <w:r>
        <w:t xml:space="preserve">For </w:t>
      </w:r>
      <w:r w:rsidR="007F3F59">
        <w:t xml:space="preserve">major </w:t>
      </w:r>
      <w:r>
        <w:t xml:space="preserve">disaster or emergency declarations prior to November 13, 2007, the State makes funding available to subgrantees for their direct costs to request, obtain, and administer  </w:t>
      </w:r>
      <w:r w:rsidR="007F3F59">
        <w:t xml:space="preserve">PA </w:t>
      </w:r>
      <w:r>
        <w:t xml:space="preserve">projects according to the following formula: </w:t>
      </w:r>
      <w:r w:rsidR="009D501B">
        <w:t xml:space="preserve"> </w:t>
      </w:r>
      <w:r w:rsidR="009D501B">
        <w:br/>
      </w:r>
      <w:r>
        <w:t>(a) three percent of the subgrantee’s first $100,000 of net eligible project costs; (b) two percent of the subgrantee’s next $900,000 of such costs; (c) one percent of the subgrantee’s next $4 million of such costs; and (d) one-half of one percent of the subgrantee’s net eligible costs over $5 million (interim final rule, 44 CFR section 207.9</w:t>
      </w:r>
      <w:r w:rsidR="00A860F5">
        <w:t>(b)(2)</w:t>
      </w:r>
      <w:r>
        <w:t xml:space="preserve">, effective November 13, 2007, 72 FR 57878, </w:t>
      </w:r>
    </w:p>
    <w:p w14:paraId="069BB925" w14:textId="77777777" w:rsidR="00056602" w:rsidRDefault="00056602" w:rsidP="00110170">
      <w:pPr>
        <w:ind w:left="1440"/>
      </w:pPr>
      <w:r>
        <w:t>October 11, 2007).</w:t>
      </w:r>
    </w:p>
    <w:p w14:paraId="1F1A6888" w14:textId="77777777" w:rsidR="00056602" w:rsidRDefault="00056602" w:rsidP="009E2214">
      <w:pPr>
        <w:tabs>
          <w:tab w:val="left" w:pos="-1440"/>
        </w:tabs>
        <w:ind w:left="1440"/>
      </w:pPr>
      <w:r>
        <w:t xml:space="preserve">For </w:t>
      </w:r>
      <w:r w:rsidR="007F3F59">
        <w:t xml:space="preserve">major </w:t>
      </w:r>
      <w:r>
        <w:t>disaster or emergency declarations on or after November 13, 2007,</w:t>
      </w:r>
      <w:r w:rsidRPr="008402A6">
        <w:t xml:space="preserve"> </w:t>
      </w:r>
      <w:r>
        <w:t xml:space="preserve">the State makes management cost funding available to subgrantees, as prescribed in the State administrative plan, to administer PA projects </w:t>
      </w:r>
      <w:r w:rsidRPr="002A730F">
        <w:t>(</w:t>
      </w:r>
      <w:r>
        <w:t>i</w:t>
      </w:r>
      <w:r w:rsidRPr="002A730F">
        <w:t xml:space="preserve">nterim final rule, </w:t>
      </w:r>
      <w:r w:rsidR="00681270" w:rsidRPr="002A730F">
        <w:t xml:space="preserve">44 CFR </w:t>
      </w:r>
      <w:r w:rsidR="00681270">
        <w:t xml:space="preserve">sections 206.207 and 206.228 </w:t>
      </w:r>
      <w:r w:rsidR="00DF6F89">
        <w:t xml:space="preserve">and </w:t>
      </w:r>
      <w:r w:rsidR="00681270">
        <w:t>p</w:t>
      </w:r>
      <w:r w:rsidR="00DF6F89">
        <w:t>art 207</w:t>
      </w:r>
      <w:r w:rsidRPr="002A730F">
        <w:t>, effective November 13, 2007, 72 FR 57876 through 57878, October 11, 2007).</w:t>
      </w:r>
    </w:p>
    <w:p w14:paraId="5328E3B3" w14:textId="77777777" w:rsidR="00056602" w:rsidRDefault="00056602" w:rsidP="00D7252E">
      <w:pPr>
        <w:keepNext/>
        <w:keepLines/>
        <w:outlineLvl w:val="0"/>
      </w:pPr>
      <w:r>
        <w:rPr>
          <w:b/>
          <w:bCs/>
        </w:rPr>
        <w:lastRenderedPageBreak/>
        <w:t>L.</w:t>
      </w:r>
      <w:r>
        <w:rPr>
          <w:b/>
          <w:bCs/>
        </w:rPr>
        <w:tab/>
        <w:t>Reporting</w:t>
      </w:r>
    </w:p>
    <w:p w14:paraId="62B43001" w14:textId="77777777" w:rsidR="00056602" w:rsidRDefault="00056602" w:rsidP="00D7252E">
      <w:pPr>
        <w:keepNext/>
        <w:keepLines/>
        <w:ind w:firstLine="720"/>
      </w:pPr>
      <w:r>
        <w:rPr>
          <w:b/>
          <w:bCs/>
        </w:rPr>
        <w:t>1.</w:t>
      </w:r>
      <w:r>
        <w:rPr>
          <w:b/>
          <w:bCs/>
        </w:rPr>
        <w:tab/>
        <w:t>Financial Reporting</w:t>
      </w:r>
    </w:p>
    <w:p w14:paraId="35A2785F" w14:textId="77777777" w:rsidR="00056602" w:rsidRDefault="00056602">
      <w:pPr>
        <w:tabs>
          <w:tab w:val="left" w:pos="-1440"/>
        </w:tabs>
        <w:ind w:left="2160" w:hanging="720"/>
      </w:pPr>
      <w:r>
        <w:t>a.</w:t>
      </w:r>
      <w:r>
        <w:tab/>
        <w:t xml:space="preserve">SF-270, </w:t>
      </w:r>
      <w:r>
        <w:rPr>
          <w:i/>
          <w:iCs/>
        </w:rPr>
        <w:t>Request for Advance or Reimbursement</w:t>
      </w:r>
      <w:r>
        <w:t xml:space="preserve"> – Applicable only to those non-Federal entities who do not utilize the Department of Health and Human Services, Payment Management System.</w:t>
      </w:r>
    </w:p>
    <w:p w14:paraId="34F09E78" w14:textId="77777777" w:rsidR="00056602" w:rsidRDefault="00056602">
      <w:pPr>
        <w:tabs>
          <w:tab w:val="left" w:pos="-1440"/>
        </w:tabs>
        <w:ind w:left="2160" w:hanging="720"/>
      </w:pPr>
      <w:r>
        <w:t>b.</w:t>
      </w:r>
      <w:r>
        <w:tab/>
        <w:t xml:space="preserve">SF-271, </w:t>
      </w:r>
      <w:r>
        <w:rPr>
          <w:i/>
          <w:iCs/>
        </w:rPr>
        <w:t>Outlay Report and Request for Reimbursement for Construction Programs</w:t>
      </w:r>
      <w:r>
        <w:t xml:space="preserve"> – Not Applicable</w:t>
      </w:r>
    </w:p>
    <w:p w14:paraId="0DFC1FCA" w14:textId="77777777" w:rsidR="00056602" w:rsidRDefault="00056602">
      <w:pPr>
        <w:tabs>
          <w:tab w:val="left" w:pos="-1440"/>
        </w:tabs>
        <w:ind w:left="2160" w:hanging="720"/>
      </w:pPr>
      <w:r>
        <w:t>c.</w:t>
      </w:r>
      <w:r>
        <w:tab/>
        <w:t>SF-425</w:t>
      </w:r>
      <w:r w:rsidRPr="00556792">
        <w:rPr>
          <w:i/>
        </w:rPr>
        <w:t>, Federal Financial Report</w:t>
      </w:r>
      <w:r>
        <w:t xml:space="preserve"> – Applicable </w:t>
      </w:r>
    </w:p>
    <w:p w14:paraId="1C5C32B8" w14:textId="77777777" w:rsidR="00056602" w:rsidRPr="00CB1383" w:rsidRDefault="00056602" w:rsidP="009E2214">
      <w:pPr>
        <w:ind w:left="1440" w:hanging="720"/>
      </w:pPr>
      <w:r w:rsidRPr="00BE6588">
        <w:rPr>
          <w:b/>
          <w:bCs/>
        </w:rPr>
        <w:t>2.</w:t>
      </w:r>
      <w:r w:rsidRPr="00BE6588">
        <w:rPr>
          <w:b/>
          <w:bCs/>
        </w:rPr>
        <w:tab/>
        <w:t>Performance</w:t>
      </w:r>
      <w:r w:rsidRPr="00CB1383">
        <w:rPr>
          <w:b/>
          <w:bCs/>
        </w:rPr>
        <w:t xml:space="preserve"> Reporting</w:t>
      </w:r>
      <w:r>
        <w:t xml:space="preserve"> – </w:t>
      </w:r>
      <w:r w:rsidRPr="00CB1383">
        <w:t xml:space="preserve">Not Applicable </w:t>
      </w:r>
    </w:p>
    <w:p w14:paraId="18128860" w14:textId="77777777" w:rsidR="00056602" w:rsidRDefault="00056602">
      <w:pPr>
        <w:ind w:firstLine="720"/>
      </w:pPr>
      <w:r>
        <w:rPr>
          <w:b/>
          <w:bCs/>
        </w:rPr>
        <w:t>3.</w:t>
      </w:r>
      <w:r>
        <w:rPr>
          <w:b/>
          <w:bCs/>
        </w:rPr>
        <w:tab/>
        <w:t>Special Reporting</w:t>
      </w:r>
      <w:r>
        <w:t xml:space="preserve"> – Not Applicable</w:t>
      </w:r>
    </w:p>
    <w:p w14:paraId="06B40E2A" w14:textId="77777777" w:rsidR="00056602" w:rsidRDefault="00056602" w:rsidP="003333A4">
      <w:pPr>
        <w:keepNext/>
        <w:keepLines/>
      </w:pPr>
      <w:r>
        <w:rPr>
          <w:b/>
          <w:bCs/>
        </w:rPr>
        <w:t>N.</w:t>
      </w:r>
      <w:r>
        <w:rPr>
          <w:b/>
          <w:bCs/>
        </w:rPr>
        <w:tab/>
        <w:t>Special Tests and Provisions</w:t>
      </w:r>
    </w:p>
    <w:p w14:paraId="44900E4A" w14:textId="77777777" w:rsidR="00056602" w:rsidRDefault="00056602" w:rsidP="003333A4">
      <w:pPr>
        <w:keepNext/>
        <w:keepLines/>
        <w:tabs>
          <w:tab w:val="left" w:pos="-1440"/>
        </w:tabs>
        <w:ind w:left="1440" w:hanging="720"/>
        <w:outlineLvl w:val="0"/>
      </w:pPr>
      <w:r>
        <w:rPr>
          <w:b/>
          <w:bCs/>
        </w:rPr>
        <w:t>Project Accounting</w:t>
      </w:r>
    </w:p>
    <w:p w14:paraId="65810D17" w14:textId="77777777" w:rsidR="00056602" w:rsidRDefault="00056602" w:rsidP="00D23031">
      <w:pPr>
        <w:ind w:left="720"/>
      </w:pPr>
      <w:r>
        <w:rPr>
          <w:b/>
          <w:bCs/>
        </w:rPr>
        <w:t>Compliance Requirement</w:t>
      </w:r>
      <w:r>
        <w:t xml:space="preserve"> – For large projects, the State is required to make an accounting to FEMA of eligible costs.  Similarly, the subgrantee must make an accounting to the State.  In submitting the accounting, the entity is required to certify that reported costs were incurred in performance of eligible work, that the approved work was completed, that the project is in compliance with the provisions of the FEMA-State Agreement, and that payments for that project were made in accordance wit</w:t>
      </w:r>
      <w:r w:rsidRPr="00503659">
        <w:t xml:space="preserve">h the 44 CFR section 13.21 payment provisions. </w:t>
      </w:r>
      <w:r w:rsidR="00052F13">
        <w:t xml:space="preserve"> </w:t>
      </w:r>
      <w:r w:rsidRPr="00503659">
        <w:t>For improved and alternate projects, if the total cost of the projects does not equal or exceed the approved eligible costs, then the auditor s</w:t>
      </w:r>
      <w:r>
        <w:t>hould expect to see an adjustment to reduce eligible costs (44 CFR section 206.205).</w:t>
      </w:r>
    </w:p>
    <w:p w14:paraId="22E00DE3" w14:textId="77777777" w:rsidR="00056602" w:rsidRDefault="00056602" w:rsidP="00110170">
      <w:pPr>
        <w:ind w:left="720"/>
      </w:pPr>
      <w:r>
        <w:rPr>
          <w:b/>
          <w:bCs/>
        </w:rPr>
        <w:t>Audit Objective</w:t>
      </w:r>
      <w:r>
        <w:t xml:space="preserve"> – Determine whether ongoing and completed projects were accounted for in accordance with the required certification.</w:t>
      </w:r>
    </w:p>
    <w:p w14:paraId="088191D6" w14:textId="77777777" w:rsidR="00056602" w:rsidRDefault="00056602" w:rsidP="00110170">
      <w:pPr>
        <w:ind w:left="720"/>
        <w:outlineLvl w:val="0"/>
      </w:pPr>
      <w:r>
        <w:rPr>
          <w:b/>
          <w:bCs/>
        </w:rPr>
        <w:t>Suggested Audit Procedures</w:t>
      </w:r>
    </w:p>
    <w:p w14:paraId="6DC48672" w14:textId="77777777" w:rsidR="00056602" w:rsidRDefault="00056602" w:rsidP="00110170">
      <w:pPr>
        <w:ind w:left="720"/>
      </w:pPr>
      <w:r>
        <w:rPr>
          <w:i/>
          <w:iCs/>
        </w:rPr>
        <w:t xml:space="preserve">Projects not completed – </w:t>
      </w:r>
      <w:r>
        <w:t xml:space="preserve">Select a sample of ongoing large projects and ascertain if costs submitted for reimbursement were in compliance with the requirements for eligible work under the applicable </w:t>
      </w:r>
      <w:smartTag w:uri="urn:schemas-microsoft-com:office:smarttags" w:element="State">
        <w:r>
          <w:t>PW</w:t>
        </w:r>
      </w:smartTag>
      <w:r>
        <w:t>.  Testing should consider the differences in the requirements and approvals required of improved and alternate projects.</w:t>
      </w:r>
    </w:p>
    <w:p w14:paraId="2766BD19" w14:textId="77777777" w:rsidR="00056602" w:rsidRDefault="00056602" w:rsidP="00110170">
      <w:pPr>
        <w:ind w:left="720"/>
      </w:pPr>
      <w:r>
        <w:rPr>
          <w:i/>
          <w:iCs/>
        </w:rPr>
        <w:t xml:space="preserve">Completed projects – </w:t>
      </w:r>
      <w:r>
        <w:t xml:space="preserve">Select a sample of large projects completed during the audit period and ascertain if the entity’s files document the total costs as allowable costs and if the costs are for allowable activities under the applicable </w:t>
      </w:r>
      <w:smartTag w:uri="urn:schemas-microsoft-com:office:smarttags" w:element="State">
        <w:r>
          <w:t>PW</w:t>
        </w:r>
      </w:smartTag>
      <w:r>
        <w:t>.  This testing should consider the differences in the requirements and approvals required of improved and alternate projects.</w:t>
      </w:r>
    </w:p>
    <w:p w14:paraId="2B714153" w14:textId="77777777" w:rsidR="00056602" w:rsidRPr="001476AA" w:rsidRDefault="00056602" w:rsidP="00D7252E">
      <w:pPr>
        <w:keepNext/>
        <w:keepLines/>
        <w:tabs>
          <w:tab w:val="left" w:pos="720"/>
        </w:tabs>
        <w:outlineLvl w:val="0"/>
        <w:rPr>
          <w:b/>
          <w:bCs/>
        </w:rPr>
      </w:pPr>
      <w:r>
        <w:rPr>
          <w:b/>
          <w:bCs/>
        </w:rPr>
        <w:lastRenderedPageBreak/>
        <w:t>IV</w:t>
      </w:r>
      <w:r w:rsidRPr="001476AA">
        <w:rPr>
          <w:b/>
          <w:bCs/>
        </w:rPr>
        <w:t>.</w:t>
      </w:r>
      <w:r w:rsidRPr="001476AA">
        <w:rPr>
          <w:b/>
          <w:bCs/>
        </w:rPr>
        <w:tab/>
        <w:t>OTHER INFORMATION</w:t>
      </w:r>
    </w:p>
    <w:p w14:paraId="32E3CD71" w14:textId="77777777" w:rsidR="001476AA" w:rsidRPr="00726D24" w:rsidRDefault="00DC3052" w:rsidP="00D7252E">
      <w:pPr>
        <w:keepNext/>
        <w:keepLines/>
        <w:rPr>
          <w:i/>
        </w:rPr>
      </w:pPr>
      <w:r w:rsidRPr="00726D24">
        <w:rPr>
          <w:i/>
        </w:rPr>
        <w:t>Recording Expenditures on the Schedule of Expenditures of Federal Awards (SEFA)</w:t>
      </w:r>
    </w:p>
    <w:p w14:paraId="684D3C0B" w14:textId="69D04A64" w:rsidR="00DC3052" w:rsidRPr="001476AA" w:rsidRDefault="00DC3052" w:rsidP="00DC3052">
      <w:r w:rsidRPr="001476AA">
        <w:t xml:space="preserve">Non-Federal entities must record expenditures on the SEFA when:  (1) FEMA has approved the non-Federal entity’s PW, and (2) the non-Federal entity has incurred the eligible expenditures.  Federal awards expended in years subsequent to the fiscal year in which the PW is approved are to be recorded on the non-Federal entity’s SEFA in those subsequent years.  </w:t>
      </w:r>
    </w:p>
    <w:p w14:paraId="76056396" w14:textId="77777777" w:rsidR="00DC3052" w:rsidRPr="001476AA" w:rsidRDefault="00DC3052" w:rsidP="00DC3052">
      <w:pPr>
        <w:rPr>
          <w:lang w:eastAsia="ja-JP"/>
        </w:rPr>
      </w:pPr>
      <w:r w:rsidRPr="001476AA">
        <w:rPr>
          <w:lang w:eastAsia="ja-JP"/>
        </w:rPr>
        <w:t xml:space="preserve">For example, </w:t>
      </w:r>
    </w:p>
    <w:p w14:paraId="47CA596B" w14:textId="1C81DD40" w:rsidR="00DC3052" w:rsidRPr="001476AA" w:rsidRDefault="001476AA" w:rsidP="001476AA">
      <w:pPr>
        <w:ind w:left="720" w:hanging="720"/>
        <w:rPr>
          <w:lang w:eastAsia="ja-JP"/>
        </w:rPr>
      </w:pPr>
      <w:r w:rsidRPr="001476AA">
        <w:rPr>
          <w:lang w:eastAsia="ja-JP"/>
        </w:rPr>
        <w:t>1.</w:t>
      </w:r>
      <w:r w:rsidRPr="001476AA">
        <w:rPr>
          <w:lang w:eastAsia="ja-JP"/>
        </w:rPr>
        <w:tab/>
      </w:r>
      <w:r w:rsidR="00DC3052" w:rsidRPr="001476AA">
        <w:rPr>
          <w:lang w:eastAsia="ja-JP"/>
        </w:rPr>
        <w:t>If FEMA approves the PW in the non-Federal entity’s fiscal year 201</w:t>
      </w:r>
      <w:r w:rsidR="004E3E1A">
        <w:rPr>
          <w:lang w:eastAsia="ja-JP"/>
        </w:rPr>
        <w:t>4</w:t>
      </w:r>
      <w:r w:rsidR="00DC3052" w:rsidRPr="001476AA">
        <w:rPr>
          <w:lang w:eastAsia="ja-JP"/>
        </w:rPr>
        <w:t xml:space="preserve"> and eligible expenditures are incurred in </w:t>
      </w:r>
      <w:r w:rsidR="004E3E1A">
        <w:rPr>
          <w:lang w:eastAsia="ja-JP"/>
        </w:rPr>
        <w:t xml:space="preserve">the non-Federal entity’s fiscal year </w:t>
      </w:r>
      <w:r w:rsidR="00DC3052" w:rsidRPr="001476AA">
        <w:rPr>
          <w:lang w:eastAsia="ja-JP"/>
        </w:rPr>
        <w:t>201</w:t>
      </w:r>
      <w:r w:rsidR="004E3E1A">
        <w:rPr>
          <w:lang w:eastAsia="ja-JP"/>
        </w:rPr>
        <w:t>5</w:t>
      </w:r>
      <w:r w:rsidR="00DC3052" w:rsidRPr="001476AA">
        <w:rPr>
          <w:lang w:eastAsia="ja-JP"/>
        </w:rPr>
        <w:t>, the non-Federal entity</w:t>
      </w:r>
      <w:r w:rsidR="00343D09">
        <w:rPr>
          <w:lang w:eastAsia="ja-JP"/>
        </w:rPr>
        <w:t xml:space="preserve"> </w:t>
      </w:r>
      <w:r w:rsidR="00DC3052" w:rsidRPr="001476AA">
        <w:rPr>
          <w:lang w:eastAsia="ja-JP"/>
        </w:rPr>
        <w:t>record</w:t>
      </w:r>
      <w:r w:rsidR="00DC3052" w:rsidRPr="00343D09">
        <w:rPr>
          <w:lang w:eastAsia="ja-JP"/>
        </w:rPr>
        <w:t>s</w:t>
      </w:r>
      <w:r w:rsidR="00DC3052" w:rsidRPr="001476AA">
        <w:rPr>
          <w:lang w:eastAsia="ja-JP"/>
        </w:rPr>
        <w:t xml:space="preserve"> the eligible expenditures in its fiscal year 201</w:t>
      </w:r>
      <w:r w:rsidR="004E3E1A">
        <w:rPr>
          <w:lang w:eastAsia="ja-JP"/>
        </w:rPr>
        <w:t>5</w:t>
      </w:r>
      <w:r w:rsidR="00DC3052" w:rsidRPr="001476AA">
        <w:rPr>
          <w:lang w:eastAsia="ja-JP"/>
        </w:rPr>
        <w:t xml:space="preserve"> SEFA.  </w:t>
      </w:r>
    </w:p>
    <w:p w14:paraId="38D53550" w14:textId="77777777" w:rsidR="00C8659C" w:rsidRDefault="00343D09" w:rsidP="00621760">
      <w:pPr>
        <w:ind w:left="720" w:hanging="720"/>
        <w:rPr>
          <w:lang w:eastAsia="ja-JP"/>
        </w:rPr>
      </w:pPr>
      <w:r>
        <w:rPr>
          <w:lang w:eastAsia="ja-JP"/>
        </w:rPr>
        <w:t>2.</w:t>
      </w:r>
      <w:r>
        <w:rPr>
          <w:lang w:eastAsia="ja-JP"/>
        </w:rPr>
        <w:tab/>
      </w:r>
      <w:r w:rsidR="00DC3052" w:rsidRPr="001476AA">
        <w:rPr>
          <w:lang w:eastAsia="ja-JP"/>
        </w:rPr>
        <w:t xml:space="preserve">If the non-Federal entity incurs eligible expenditures in its fiscal year 2014 and FEMA approves the non-Federal entity’s PW in </w:t>
      </w:r>
      <w:r w:rsidR="004E3E1A">
        <w:rPr>
          <w:lang w:eastAsia="ja-JP"/>
        </w:rPr>
        <w:t xml:space="preserve">the non-Federal entity’s </w:t>
      </w:r>
      <w:r w:rsidR="00DC3052" w:rsidRPr="001476AA">
        <w:rPr>
          <w:lang w:eastAsia="ja-JP"/>
        </w:rPr>
        <w:t>fiscal year 2015, the non-Federal entity record</w:t>
      </w:r>
      <w:r w:rsidR="00DC3052" w:rsidRPr="00343D09">
        <w:rPr>
          <w:lang w:eastAsia="ja-JP"/>
        </w:rPr>
        <w:t xml:space="preserve">s </w:t>
      </w:r>
      <w:r w:rsidR="00DC3052" w:rsidRPr="001476AA">
        <w:rPr>
          <w:lang w:eastAsia="ja-JP"/>
        </w:rPr>
        <w:t>the eligible expenditures in its fiscal year 2015 SEFA with a footnote that discloses the amount included on the SEFA that</w:t>
      </w:r>
      <w:r w:rsidR="00621760">
        <w:rPr>
          <w:lang w:eastAsia="ja-JP"/>
        </w:rPr>
        <w:t xml:space="preserve"> was incurred in a prior year. </w:t>
      </w:r>
    </w:p>
    <w:p w14:paraId="6A429345" w14:textId="77777777" w:rsidR="00005152" w:rsidRDefault="00005152" w:rsidP="00621760">
      <w:pPr>
        <w:ind w:left="720" w:hanging="720"/>
        <w:rPr>
          <w:lang w:eastAsia="ja-JP"/>
        </w:rPr>
      </w:pPr>
    </w:p>
    <w:p w14:paraId="1ACFA237" w14:textId="77777777" w:rsidR="00005152" w:rsidRDefault="00005152" w:rsidP="00621760">
      <w:pPr>
        <w:ind w:left="720" w:hanging="720"/>
        <w:sectPr w:rsidR="00005152" w:rsidSect="00AB7D57">
          <w:headerReference w:type="default" r:id="rId10"/>
          <w:footerReference w:type="default" r:id="rId11"/>
          <w:pgSz w:w="12240" w:h="15840" w:code="1"/>
          <w:pgMar w:top="1440" w:right="1440" w:bottom="1440" w:left="1440" w:header="720" w:footer="720" w:gutter="0"/>
          <w:pgNumType w:start="1"/>
          <w:cols w:space="720"/>
          <w:docGrid w:linePitch="360"/>
        </w:sectPr>
      </w:pPr>
    </w:p>
    <w:p w14:paraId="0A9F9C22" w14:textId="77777777" w:rsidR="00005152" w:rsidRDefault="00005152" w:rsidP="009E2214">
      <w:pPr>
        <w:jc w:val="center"/>
        <w:rPr>
          <w:b/>
          <w:bCs/>
        </w:rPr>
      </w:pPr>
      <w:r>
        <w:rPr>
          <w:b/>
          <w:bCs/>
        </w:rPr>
        <w:lastRenderedPageBreak/>
        <w:t>DEPARTMENT OF HOMELAND SECURITY</w:t>
      </w:r>
    </w:p>
    <w:p w14:paraId="28357B6D" w14:textId="77777777" w:rsidR="00005152" w:rsidRDefault="00005152" w:rsidP="009E2214">
      <w:pPr>
        <w:tabs>
          <w:tab w:val="left" w:pos="1800"/>
        </w:tabs>
      </w:pPr>
      <w:r>
        <w:rPr>
          <w:b/>
          <w:bCs/>
        </w:rPr>
        <w:t>CFDA 97.039</w:t>
      </w:r>
      <w:r>
        <w:rPr>
          <w:b/>
          <w:bCs/>
        </w:rPr>
        <w:tab/>
        <w:t>HAZARD MITIGATION GRANT (HMGP)</w:t>
      </w:r>
    </w:p>
    <w:p w14:paraId="26CCCB7B" w14:textId="77777777" w:rsidR="00005152" w:rsidRDefault="00005152" w:rsidP="009E2214">
      <w:r>
        <w:rPr>
          <w:b/>
          <w:bCs/>
        </w:rPr>
        <w:t>I.</w:t>
      </w:r>
      <w:r>
        <w:rPr>
          <w:b/>
          <w:bCs/>
        </w:rPr>
        <w:tab/>
        <w:t>PROGRAM OBJECTIVES</w:t>
      </w:r>
    </w:p>
    <w:p w14:paraId="19A70115" w14:textId="77777777" w:rsidR="00005152" w:rsidRPr="00392A92" w:rsidRDefault="00005152" w:rsidP="00AB7D57">
      <w:pPr>
        <w:pStyle w:val="pa10"/>
        <w:spacing w:after="240"/>
        <w:rPr>
          <w:rFonts w:ascii="Times New Roman" w:hAnsi="Times New Roman"/>
        </w:rPr>
      </w:pPr>
      <w:r>
        <w:t xml:space="preserve">The Hazard Mitigation Grant Program (HMGP) is a cost-shared program administered by the Federal Emergency Management Agency (FEMA), Department of Homeland Security (DHS).  The program’s purpose is to mitigate the vulnerability of life and property to future disasters during the recovery and reconstruction process following a disaster.  </w:t>
      </w:r>
      <w:r>
        <w:rPr>
          <w:rFonts w:ascii="Times New Roman" w:hAnsi="Times New Roman"/>
        </w:rPr>
        <w:t xml:space="preserve">HMGP </w:t>
      </w:r>
      <w:r w:rsidRPr="00392A92">
        <w:rPr>
          <w:rFonts w:ascii="Times New Roman" w:hAnsi="Times New Roman"/>
        </w:rPr>
        <w:t xml:space="preserve">provides funds to implement projects to reduce risk from future hazard events in accordance with priorities identified in State, </w:t>
      </w:r>
      <w:r>
        <w:rPr>
          <w:rFonts w:ascii="Times New Roman" w:hAnsi="Times New Roman"/>
        </w:rPr>
        <w:t>Indian t</w:t>
      </w:r>
      <w:r w:rsidRPr="00392A92">
        <w:rPr>
          <w:rFonts w:ascii="Times New Roman" w:hAnsi="Times New Roman"/>
        </w:rPr>
        <w:t>ribal</w:t>
      </w:r>
      <w:r>
        <w:rPr>
          <w:rFonts w:ascii="Times New Roman" w:hAnsi="Times New Roman"/>
        </w:rPr>
        <w:t xml:space="preserve"> government, Territory, </w:t>
      </w:r>
      <w:r w:rsidRPr="00392A92">
        <w:rPr>
          <w:rFonts w:ascii="Times New Roman" w:hAnsi="Times New Roman"/>
        </w:rPr>
        <w:t xml:space="preserve">or local hazard mitigation plans. </w:t>
      </w:r>
      <w:r>
        <w:rPr>
          <w:rFonts w:ascii="Times New Roman" w:hAnsi="Times New Roman"/>
        </w:rPr>
        <w:t xml:space="preserve"> </w:t>
      </w:r>
      <w:r w:rsidRPr="00392A92">
        <w:rPr>
          <w:rFonts w:ascii="Times New Roman" w:hAnsi="Times New Roman"/>
        </w:rPr>
        <w:t xml:space="preserve">It also provides funds designed to develop State, </w:t>
      </w:r>
      <w:r>
        <w:rPr>
          <w:rFonts w:ascii="Times New Roman" w:hAnsi="Times New Roman"/>
        </w:rPr>
        <w:t>Indian t</w:t>
      </w:r>
      <w:r w:rsidRPr="00392A92">
        <w:rPr>
          <w:rFonts w:ascii="Times New Roman" w:hAnsi="Times New Roman"/>
        </w:rPr>
        <w:t>ribal</w:t>
      </w:r>
      <w:r>
        <w:rPr>
          <w:rFonts w:ascii="Times New Roman" w:hAnsi="Times New Roman"/>
        </w:rPr>
        <w:t xml:space="preserve"> government</w:t>
      </w:r>
      <w:r w:rsidRPr="00392A92">
        <w:rPr>
          <w:rFonts w:ascii="Times New Roman" w:hAnsi="Times New Roman"/>
        </w:rPr>
        <w:t xml:space="preserve">, and local mitigation plans that meet the planning requirements outlined in 44 CFR </w:t>
      </w:r>
      <w:r>
        <w:rPr>
          <w:rFonts w:ascii="Times New Roman" w:hAnsi="Times New Roman"/>
        </w:rPr>
        <w:t>p</w:t>
      </w:r>
      <w:r w:rsidRPr="00392A92">
        <w:rPr>
          <w:rFonts w:ascii="Times New Roman" w:hAnsi="Times New Roman"/>
        </w:rPr>
        <w:t>art 201.</w:t>
      </w:r>
    </w:p>
    <w:p w14:paraId="36E13C79" w14:textId="77777777" w:rsidR="00005152" w:rsidRDefault="00005152" w:rsidP="009E2214">
      <w:r>
        <w:rPr>
          <w:b/>
          <w:bCs/>
        </w:rPr>
        <w:t>II.</w:t>
      </w:r>
      <w:r>
        <w:rPr>
          <w:b/>
          <w:bCs/>
        </w:rPr>
        <w:tab/>
        <w:t>PROGRAM PROCEDURES</w:t>
      </w:r>
    </w:p>
    <w:p w14:paraId="79D9D07C" w14:textId="77777777" w:rsidR="00005152" w:rsidRDefault="00005152" w:rsidP="009E2214">
      <w:r>
        <w:rPr>
          <w:b/>
          <w:bCs/>
        </w:rPr>
        <w:t>Program Administration</w:t>
      </w:r>
    </w:p>
    <w:p w14:paraId="34201FC8" w14:textId="77777777" w:rsidR="00005152" w:rsidRDefault="00005152" w:rsidP="00AB7D57">
      <w:pPr>
        <w:autoSpaceDE w:val="0"/>
        <w:autoSpaceDN w:val="0"/>
        <w:adjustRightInd w:val="0"/>
      </w:pPr>
      <w:r>
        <w:t>FEMA provides HMGP awards to States and federally recognized Indian tribal governments (recipients), which, in turn, may provide subawards to State agencies, local governments, Indian tribal governmental agencies, and other eligible entities (subrecipients).  Each recipient administers the HMGP according to a FEMA-State or FEMA-Indian tribal government Agreement, a comprehensive Standard or Enhanced Mitigation Plan, and a State or Indian tribal government HMGP Administrative Plan.  These plans must be approved by FEMA before funds are awarded to the State or Indian tribal government.</w:t>
      </w:r>
      <w:r>
        <w:rPr>
          <w:color w:val="000080"/>
        </w:rPr>
        <w:t xml:space="preserve">  </w:t>
      </w:r>
      <w:r>
        <w:t>FEMA is responsible for approving or denying project applications, and reviewing the recipient’s quarterly and final reports.</w:t>
      </w:r>
    </w:p>
    <w:p w14:paraId="4F700383" w14:textId="77777777" w:rsidR="00005152" w:rsidRDefault="00005152" w:rsidP="009E2214">
      <w:r>
        <w:t xml:space="preserve">FEMA also provides funding for costs incurred by recipients and their subrecipients in administering HMGP.  For Federal disasters declared prior to November 13, 2007, the recipient receives a statutory administrative cost allowance determined according to a formula based on percentages of the aggregate Federal share of funding provided to subrecipients for hazard mitigation projects.  Management costs not covered by the allowance may be allowed with FEMA prior approval.  The recipient awards statutory administrative cost allowances to subrecipient according to a formula based on percentages of the subrecipient’s s net eligible project costs.  If requested, management costs are awarded as a part of the HMGP ceiling. </w:t>
      </w:r>
    </w:p>
    <w:p w14:paraId="174399D9" w14:textId="60AD61AB" w:rsidR="00005152" w:rsidRDefault="00005152" w:rsidP="009E2214">
      <w:r>
        <w:t xml:space="preserve">For Federal disasters declared on or after November 13, 2007, FEMA makes available funds for costs incurred by recipients and their subrecipients in administering and managing HMGP.  These costs are now termed “management costs” and include any indirect costs, administrative expenses, and any other expenses not directly chargeable to a specific project that are reasonably incurred by a recipient  or subrecipient in the administration and management of HMGP.  A flat rate of 4.89 percent of the projected eligible program costs is used to calculate the management costs available to recipients.  Recipients may identify and make available a percentage or amount of pass-through funds for management costs to their subrecipients.  The basis, criteria, or formula for equitable distribution is determined by the recipient and must be included in the FEMA-approved State or Indian tribal government HMGP Administrative Plan before funds for management costs can be awarded.  Management costs are not subject to the Federal funding </w:t>
      </w:r>
      <w:r>
        <w:lastRenderedPageBreak/>
        <w:t>limits for HMGP projects (see III.G.1, “</w:t>
      </w:r>
      <w:r w:rsidR="00FC5249">
        <w:t>Matching, Level of Effort, Earmarking</w:t>
      </w:r>
      <w:r w:rsidR="00FC5249" w:rsidRPr="00FC5249">
        <w:t xml:space="preserve"> – </w:t>
      </w:r>
      <w:r>
        <w:t>Matching”), and are provided in addition to the HMGP Program Ceiling</w:t>
      </w:r>
      <w:r w:rsidR="0022223F">
        <w:t>.</w:t>
      </w:r>
    </w:p>
    <w:p w14:paraId="1771EAD5" w14:textId="77777777" w:rsidR="00005152" w:rsidRDefault="00005152" w:rsidP="009E2214">
      <w:r>
        <w:rPr>
          <w:b/>
          <w:bCs/>
        </w:rPr>
        <w:t>Application and Award Process</w:t>
      </w:r>
    </w:p>
    <w:p w14:paraId="084AAE6C" w14:textId="77777777" w:rsidR="00005152" w:rsidRDefault="00005152" w:rsidP="009E2214">
      <w:r>
        <w:t xml:space="preserve">After determining that disaster relief and recovery needs cannot be met with resources available within the State, the Governor requests a Presidential declaration designating the State a disaster area.  </w:t>
      </w:r>
      <w:r w:rsidRPr="00C73706">
        <w:t xml:space="preserve">Indian </w:t>
      </w:r>
      <w:r>
        <w:t>tribal</w:t>
      </w:r>
      <w:r w:rsidRPr="00C73706">
        <w:t xml:space="preserve"> governments may also submit a request for a major disaster declaration within their impacted area. </w:t>
      </w:r>
      <w:r>
        <w:t xml:space="preserve"> Applicants have up to 12 months from the date the disaster is declared to review and submit applications.  The application must identify the specific mitigation measure(s) for which the State or Indian tribal government requests funding, and any entities to which the recipient intends to make subawards.</w:t>
      </w:r>
    </w:p>
    <w:p w14:paraId="34120BD3" w14:textId="77777777" w:rsidR="00005152" w:rsidRDefault="00005152" w:rsidP="009E2214">
      <w:r>
        <w:t xml:space="preserve">In addition to submitting applications and supporting documents to FEMA, the recipient’s Authorized Representative appoints a State Hazard Mitigation Officer.  This official ensures that all potential applicants are made aware of the assistance available under the HMGP, and provides technical advice and assistance to eligible subrecipients.  Indian tribal governments can receive HMGP assistance as subrecipients of States or apply directly to FEMA.  Where FEMA provides an award directly to an Indian tribal government, the two entities enter into a FEMA-Tribal agreement modeled on the FEMA-State agreement. </w:t>
      </w:r>
    </w:p>
    <w:p w14:paraId="335C6609" w14:textId="77777777" w:rsidR="00005152" w:rsidRDefault="00005152" w:rsidP="009E2214">
      <w:r>
        <w:rPr>
          <w:b/>
          <w:bCs/>
        </w:rPr>
        <w:t>Source of Governing Requirements</w:t>
      </w:r>
    </w:p>
    <w:p w14:paraId="7AC32C93" w14:textId="77777777" w:rsidR="00005152" w:rsidRDefault="00005152" w:rsidP="009E2214">
      <w:r w:rsidRPr="003242CB">
        <w:t>HMGP is authorized by Section 404 of the Robert T. Stafford Disaster Relief and Emergency Assistance Act, as amended (the Stafford Act), 42 USC</w:t>
      </w:r>
      <w:r>
        <w:t xml:space="preserve"> </w:t>
      </w:r>
      <w:r w:rsidRPr="003242CB">
        <w:t>5170c.</w:t>
      </w:r>
      <w:r>
        <w:rPr>
          <w:color w:val="000000"/>
          <w:sz w:val="23"/>
          <w:szCs w:val="23"/>
        </w:rPr>
        <w:t xml:space="preserve"> </w:t>
      </w:r>
      <w:r>
        <w:t>Program regulations are codified at 44 CFR parts 80; 201; 206, subpart N (Hazard Mitigation Grant Program); and 207.</w:t>
      </w:r>
    </w:p>
    <w:p w14:paraId="2C920448" w14:textId="77777777" w:rsidR="00005152" w:rsidRDefault="00005152" w:rsidP="009E2214">
      <w:r>
        <w:rPr>
          <w:b/>
          <w:bCs/>
        </w:rPr>
        <w:t>Availability of Other Program Information</w:t>
      </w:r>
    </w:p>
    <w:p w14:paraId="78BB01D0" w14:textId="77777777" w:rsidR="00005152" w:rsidRDefault="00005152" w:rsidP="009E2214">
      <w:r>
        <w:t xml:space="preserve">Additional program information is available at </w:t>
      </w:r>
      <w:hyperlink r:id="rId12" w:history="1">
        <w:r w:rsidRPr="003242CB">
          <w:rPr>
            <w:rStyle w:val="Hyperlink"/>
          </w:rPr>
          <w:t>http://www.fema.gov/hazard-mitigation-grant-program</w:t>
        </w:r>
      </w:hyperlink>
      <w:r>
        <w:t xml:space="preserve"> .</w:t>
      </w:r>
    </w:p>
    <w:p w14:paraId="39418997" w14:textId="77777777" w:rsidR="00005152" w:rsidRDefault="00005152" w:rsidP="009E2214">
      <w:pPr>
        <w:rPr>
          <w:b/>
          <w:bCs/>
        </w:rPr>
      </w:pPr>
      <w:r>
        <w:rPr>
          <w:b/>
          <w:bCs/>
        </w:rPr>
        <w:t>III.</w:t>
      </w:r>
      <w:r>
        <w:rPr>
          <w:b/>
          <w:bCs/>
        </w:rPr>
        <w:tab/>
        <w:t>COMPLIANCE REQUIREMENTS</w:t>
      </w:r>
    </w:p>
    <w:p w14:paraId="5E9C0B81" w14:textId="61D19C83" w:rsidR="00D7252E" w:rsidRDefault="00D7252E" w:rsidP="00D7252E">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D7252E" w:rsidRPr="007C36CD" w14:paraId="61AABCDC" w14:textId="77777777" w:rsidTr="00BE236C">
        <w:tc>
          <w:tcPr>
            <w:tcW w:w="900" w:type="dxa"/>
            <w:hideMark/>
          </w:tcPr>
          <w:p w14:paraId="23724A2D"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14:paraId="729472EA"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440981A7"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B.</w:t>
            </w:r>
          </w:p>
          <w:p w14:paraId="3BBFCD3E"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48319ABD"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C.</w:t>
            </w:r>
          </w:p>
          <w:p w14:paraId="320A2EFC"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4BB949B8"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E.</w:t>
            </w:r>
          </w:p>
          <w:p w14:paraId="1E4DFF52"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3148C0B6"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F.</w:t>
            </w:r>
          </w:p>
          <w:p w14:paraId="4F15CA60"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1201B0ED"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G.</w:t>
            </w:r>
          </w:p>
          <w:p w14:paraId="65ED24B9"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55A6C8FD"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H.</w:t>
            </w:r>
          </w:p>
          <w:p w14:paraId="7A796E71"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1F8EF1C5"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I.</w:t>
            </w:r>
          </w:p>
          <w:p w14:paraId="49DDCAD6"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5CBB5D64"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J.</w:t>
            </w:r>
          </w:p>
          <w:p w14:paraId="1AFAA384"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1C5FBECB"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L.</w:t>
            </w:r>
          </w:p>
          <w:p w14:paraId="2027424C"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1D271B34" w14:textId="77777777" w:rsidR="00D7252E" w:rsidRPr="007C36CD" w:rsidRDefault="00D7252E" w:rsidP="00374F6C">
            <w:pPr>
              <w:keepNext/>
              <w:keepLines/>
              <w:spacing w:before="40" w:after="160"/>
              <w:jc w:val="center"/>
              <w:rPr>
                <w:rFonts w:eastAsia="Calibri"/>
                <w:b/>
                <w:bCs/>
                <w:i/>
                <w:iCs/>
                <w:sz w:val="16"/>
                <w:szCs w:val="16"/>
              </w:rPr>
            </w:pPr>
            <w:r w:rsidRPr="007C36CD">
              <w:rPr>
                <w:rFonts w:eastAsia="Calibri"/>
                <w:b/>
                <w:bCs/>
                <w:i/>
                <w:iCs/>
                <w:sz w:val="16"/>
                <w:szCs w:val="16"/>
              </w:rPr>
              <w:t>M.</w:t>
            </w:r>
          </w:p>
          <w:p w14:paraId="004B5936" w14:textId="77777777" w:rsidR="00D7252E" w:rsidRPr="007C36CD" w:rsidRDefault="00D7252E" w:rsidP="00374F6C">
            <w:pPr>
              <w:keepNext/>
              <w:keepLines/>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65AA0C63"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N.</w:t>
            </w:r>
          </w:p>
          <w:p w14:paraId="47AA0C68"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Special Tests and Provisions</w:t>
            </w:r>
          </w:p>
        </w:tc>
      </w:tr>
      <w:tr w:rsidR="00D7252E" w:rsidRPr="007C36CD" w14:paraId="610906CC" w14:textId="77777777" w:rsidTr="00BE236C">
        <w:tc>
          <w:tcPr>
            <w:tcW w:w="900" w:type="dxa"/>
          </w:tcPr>
          <w:p w14:paraId="6E1C1DE9" w14:textId="67661BA3"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810" w:type="dxa"/>
          </w:tcPr>
          <w:p w14:paraId="47B45341" w14:textId="533F1B13"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6BEAB5C2" w14:textId="36FE8018"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810" w:type="dxa"/>
          </w:tcPr>
          <w:p w14:paraId="264BC8D1" w14:textId="5C84EA8A"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4463BEC9" w14:textId="65B38A21"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N</w:t>
            </w:r>
          </w:p>
        </w:tc>
        <w:tc>
          <w:tcPr>
            <w:tcW w:w="900" w:type="dxa"/>
          </w:tcPr>
          <w:p w14:paraId="419AFC16" w14:textId="72269775"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71C5B460" w14:textId="4D8D4FDA"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48A5C5A7" w14:textId="33C6F1CD"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N</w:t>
            </w:r>
          </w:p>
        </w:tc>
        <w:tc>
          <w:tcPr>
            <w:tcW w:w="720" w:type="dxa"/>
          </w:tcPr>
          <w:p w14:paraId="1A9C7E66" w14:textId="723708D5"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N</w:t>
            </w:r>
          </w:p>
        </w:tc>
        <w:tc>
          <w:tcPr>
            <w:tcW w:w="810" w:type="dxa"/>
          </w:tcPr>
          <w:p w14:paraId="00A9C3A9" w14:textId="413D2AD9"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990" w:type="dxa"/>
          </w:tcPr>
          <w:p w14:paraId="0BC3CB24" w14:textId="62A199B3" w:rsidR="00D7252E" w:rsidRPr="00C71937" w:rsidRDefault="00C71937" w:rsidP="00374F6C">
            <w:pPr>
              <w:keepNext/>
              <w:keepLines/>
              <w:spacing w:before="40" w:after="160"/>
              <w:jc w:val="center"/>
              <w:rPr>
                <w:rFonts w:eastAsia="Calibri"/>
                <w:bCs/>
                <w:iCs/>
                <w:sz w:val="20"/>
                <w:szCs w:val="20"/>
              </w:rPr>
            </w:pPr>
            <w:r>
              <w:rPr>
                <w:rFonts w:eastAsia="Calibri"/>
                <w:bCs/>
                <w:iCs/>
                <w:sz w:val="20"/>
                <w:szCs w:val="20"/>
              </w:rPr>
              <w:t>Y</w:t>
            </w:r>
          </w:p>
        </w:tc>
        <w:tc>
          <w:tcPr>
            <w:tcW w:w="900" w:type="dxa"/>
          </w:tcPr>
          <w:p w14:paraId="7154E603" w14:textId="445AB888" w:rsidR="00D7252E" w:rsidRPr="00C71937" w:rsidRDefault="00C71937" w:rsidP="00374F6C">
            <w:pPr>
              <w:spacing w:before="40" w:after="160"/>
              <w:jc w:val="center"/>
              <w:rPr>
                <w:rFonts w:eastAsia="Calibri"/>
                <w:bCs/>
                <w:iCs/>
                <w:sz w:val="20"/>
                <w:szCs w:val="20"/>
              </w:rPr>
            </w:pPr>
            <w:r>
              <w:rPr>
                <w:rFonts w:eastAsia="Calibri"/>
                <w:bCs/>
                <w:iCs/>
                <w:sz w:val="20"/>
                <w:szCs w:val="20"/>
              </w:rPr>
              <w:t>N</w:t>
            </w:r>
          </w:p>
        </w:tc>
      </w:tr>
    </w:tbl>
    <w:p w14:paraId="6F1DA050" w14:textId="77777777" w:rsidR="00D7252E" w:rsidRDefault="00D7252E" w:rsidP="00374F6C">
      <w:pPr>
        <w:spacing w:after="0"/>
        <w:rPr>
          <w:b/>
          <w:bCs/>
        </w:rPr>
      </w:pPr>
    </w:p>
    <w:p w14:paraId="4789EF4E" w14:textId="77777777" w:rsidR="00005152" w:rsidRDefault="00005152" w:rsidP="00374F6C">
      <w:pPr>
        <w:spacing w:after="0"/>
        <w:rPr>
          <w:b/>
          <w:bCs/>
        </w:rPr>
      </w:pPr>
      <w:r>
        <w:rPr>
          <w:b/>
          <w:bCs/>
        </w:rPr>
        <w:t>A.</w:t>
      </w:r>
      <w:r>
        <w:rPr>
          <w:b/>
          <w:bCs/>
        </w:rPr>
        <w:tab/>
        <w:t>Activities Allowed or Unallowed</w:t>
      </w:r>
    </w:p>
    <w:p w14:paraId="1A22EA6E" w14:textId="77777777" w:rsidR="00C71937" w:rsidRDefault="00C71937" w:rsidP="00374F6C">
      <w:pPr>
        <w:spacing w:after="0"/>
      </w:pPr>
    </w:p>
    <w:p w14:paraId="11AE4D71" w14:textId="77777777" w:rsidR="00005152" w:rsidRDefault="00005152" w:rsidP="00C71937">
      <w:pPr>
        <w:ind w:left="720"/>
      </w:pPr>
      <w:r>
        <w:t xml:space="preserve">The activities allowed for an HMGP project are those described in the grant application approved by FEMA and the supporting documentation.  All projects funded must also conform to the State’s and/or Indian tribal government’s (when applying directly to FEMA) comprehensive Hazard Mitigation Plan.  Additionally, all subaward projects funded under HMGP must be </w:t>
      </w:r>
      <w:r w:rsidRPr="00CF6DD1">
        <w:t>in accordance with</w:t>
      </w:r>
      <w:r>
        <w:t xml:space="preserve"> priorities identified in the Indian t</w:t>
      </w:r>
      <w:r w:rsidRPr="00CF6DD1">
        <w:t xml:space="preserve">ribal </w:t>
      </w:r>
      <w:r>
        <w:t xml:space="preserve">government </w:t>
      </w:r>
      <w:r w:rsidRPr="00CF6DD1">
        <w:t>or local hazard mitigation plans</w:t>
      </w:r>
      <w:r>
        <w:t xml:space="preserve"> (44 CFR sections 201.6 and 201.7).  Eligible projects include, but are not limited to:</w:t>
      </w:r>
    </w:p>
    <w:p w14:paraId="66DDB42D" w14:textId="77777777" w:rsidR="00005152" w:rsidRDefault="00005152" w:rsidP="009E2214">
      <w:pPr>
        <w:tabs>
          <w:tab w:val="left" w:pos="-1440"/>
        </w:tabs>
        <w:ind w:left="1440" w:hanging="720"/>
      </w:pPr>
      <w:r>
        <w:t>1.</w:t>
      </w:r>
      <w:r>
        <w:tab/>
        <w:t>Structural hazard control or protection projects;</w:t>
      </w:r>
    </w:p>
    <w:p w14:paraId="6256112A" w14:textId="77777777" w:rsidR="00005152" w:rsidRDefault="00005152" w:rsidP="009E2214">
      <w:pPr>
        <w:tabs>
          <w:tab w:val="left" w:pos="-1440"/>
        </w:tabs>
        <w:ind w:left="1440" w:hanging="720"/>
      </w:pPr>
      <w:r>
        <w:t>2.</w:t>
      </w:r>
      <w:r>
        <w:tab/>
        <w:t>Construction activities that will result in protection from hazards;</w:t>
      </w:r>
    </w:p>
    <w:p w14:paraId="1ADD6AE7" w14:textId="77777777" w:rsidR="00005152" w:rsidRDefault="00005152" w:rsidP="009E2214">
      <w:pPr>
        <w:tabs>
          <w:tab w:val="left" w:pos="-1440"/>
        </w:tabs>
        <w:ind w:left="1440" w:hanging="720"/>
      </w:pPr>
      <w:r>
        <w:t>3.</w:t>
      </w:r>
      <w:r>
        <w:tab/>
        <w:t>Retrofitting of facilities;</w:t>
      </w:r>
    </w:p>
    <w:p w14:paraId="3B5ACFF3" w14:textId="77777777" w:rsidR="00005152" w:rsidRDefault="00005152" w:rsidP="009E2214">
      <w:pPr>
        <w:tabs>
          <w:tab w:val="left" w:pos="-1440"/>
        </w:tabs>
        <w:ind w:left="1440" w:hanging="720"/>
      </w:pPr>
      <w:r>
        <w:t>4.</w:t>
      </w:r>
      <w:r>
        <w:tab/>
        <w:t>Property acquisition or relocation;</w:t>
      </w:r>
    </w:p>
    <w:p w14:paraId="25E86150" w14:textId="77777777" w:rsidR="00005152" w:rsidRDefault="00005152" w:rsidP="00AB7D57">
      <w:pPr>
        <w:tabs>
          <w:tab w:val="left" w:pos="-1440"/>
        </w:tabs>
        <w:ind w:left="1440" w:hanging="720"/>
      </w:pPr>
      <w:r>
        <w:t>5.</w:t>
      </w:r>
      <w:r>
        <w:tab/>
        <w:t>Development of State, Indian tribal government, or local mitigation standards;</w:t>
      </w:r>
    </w:p>
    <w:p w14:paraId="5EEA1134" w14:textId="77777777" w:rsidR="00005152" w:rsidRDefault="00005152" w:rsidP="00AB7D57">
      <w:pPr>
        <w:tabs>
          <w:tab w:val="left" w:pos="-1440"/>
        </w:tabs>
        <w:ind w:left="1440" w:hanging="720"/>
      </w:pPr>
      <w:r>
        <w:t>6.</w:t>
      </w:r>
      <w:r>
        <w:tab/>
      </w:r>
      <w:r w:rsidRPr="0022676C">
        <w:t>Development or improvement of warning systems</w:t>
      </w:r>
      <w:r>
        <w:t>; and</w:t>
      </w:r>
    </w:p>
    <w:p w14:paraId="54A2DB3F" w14:textId="77777777" w:rsidR="00005152" w:rsidRPr="006D7644" w:rsidRDefault="00005152" w:rsidP="00AB7D57">
      <w:pPr>
        <w:tabs>
          <w:tab w:val="left" w:pos="-1440"/>
        </w:tabs>
        <w:ind w:left="1440" w:hanging="720"/>
        <w:rPr>
          <w:strike/>
        </w:rPr>
      </w:pPr>
      <w:r>
        <w:t>7.</w:t>
      </w:r>
      <w:r>
        <w:tab/>
        <w:t>Development of a mitigation plan meeting the requirements of 44 CFR part 201. (44 CFR section 206.436(d)(2))</w:t>
      </w:r>
    </w:p>
    <w:p w14:paraId="06C1D42F" w14:textId="77777777" w:rsidR="00005152" w:rsidRDefault="00005152" w:rsidP="009E2214">
      <w:pPr>
        <w:tabs>
          <w:tab w:val="left" w:pos="-1440"/>
        </w:tabs>
        <w:ind w:left="720" w:hanging="720"/>
      </w:pPr>
      <w:r>
        <w:rPr>
          <w:b/>
          <w:bCs/>
        </w:rPr>
        <w:t>B.</w:t>
      </w:r>
      <w:r>
        <w:rPr>
          <w:b/>
          <w:bCs/>
        </w:rPr>
        <w:tab/>
        <w:t>Allowable Costs/Cost Principles</w:t>
      </w:r>
    </w:p>
    <w:p w14:paraId="54F5CFD0" w14:textId="77777777" w:rsidR="00005152" w:rsidRPr="00AD0EE0" w:rsidRDefault="00005152" w:rsidP="009E2214">
      <w:pPr>
        <w:tabs>
          <w:tab w:val="left" w:pos="-1440"/>
        </w:tabs>
        <w:ind w:left="1440" w:hanging="720"/>
        <w:rPr>
          <w:b/>
        </w:rPr>
      </w:pPr>
      <w:r>
        <w:t>1.</w:t>
      </w:r>
      <w:r>
        <w:tab/>
      </w:r>
      <w:r w:rsidRPr="00AD0EE0">
        <w:rPr>
          <w:b/>
          <w:i/>
          <w:iCs/>
        </w:rPr>
        <w:t>Administrative Costs for Federal disasters declared prior to November 13, 2007</w:t>
      </w:r>
    </w:p>
    <w:p w14:paraId="75323600" w14:textId="77777777" w:rsidR="00005152" w:rsidRDefault="00005152" w:rsidP="009E2214">
      <w:pPr>
        <w:tabs>
          <w:tab w:val="left" w:pos="-1440"/>
        </w:tabs>
        <w:ind w:left="2160" w:hanging="720"/>
      </w:pPr>
      <w:r>
        <w:t>a.</w:t>
      </w:r>
      <w:r>
        <w:tab/>
      </w:r>
      <w:r w:rsidRPr="00AD0EE0">
        <w:rPr>
          <w:i/>
        </w:rPr>
        <w:t xml:space="preserve">Recipient </w:t>
      </w:r>
      <w:r w:rsidRPr="00AD0EE0">
        <w:rPr>
          <w:i/>
          <w:iCs/>
        </w:rPr>
        <w:t>Direct Costs</w:t>
      </w:r>
      <w:r>
        <w:rPr>
          <w:i/>
          <w:iCs/>
        </w:rPr>
        <w:t xml:space="preserve"> – </w:t>
      </w:r>
      <w:r>
        <w:t xml:space="preserve">A State or Indian tribal government may use funds made available by FEMA under its administrative cost allowance only for extraordinary direct costs of preparing applications and quarterly reports, and making final audits and related field inspections.  Specific cost items allowable as direct administrative costs include overtime pay, per diem and travel expenses for State or Indian tribal government employees, but not their regular (straight-time) salaries.  Cost items not eligible for funding from the State’s or Indian tribal government’s administrative cost allowance, but still related to managing the program, may be funded from the award if FEMA gives prior approval.  Regular (straight-time) salaries may be funded in this way.  In the case of staffing </w:t>
      </w:r>
      <w:r>
        <w:lastRenderedPageBreak/>
        <w:t xml:space="preserve">costs for the State’s or Indian tribal government’s portion of the Joint Field Office, FEMA gives prior approval by approving the State’s staffing plan (44 CFR section 207.9(b)(1)).  </w:t>
      </w:r>
    </w:p>
    <w:p w14:paraId="224E9D3B" w14:textId="77777777" w:rsidR="00005152" w:rsidRDefault="00005152" w:rsidP="009E2214">
      <w:pPr>
        <w:tabs>
          <w:tab w:val="left" w:pos="-1440"/>
        </w:tabs>
        <w:ind w:left="2160" w:hanging="720"/>
      </w:pPr>
      <w:r>
        <w:t>b.</w:t>
      </w:r>
      <w:r>
        <w:tab/>
      </w:r>
      <w:r w:rsidRPr="00AD0EE0">
        <w:rPr>
          <w:i/>
          <w:iCs/>
        </w:rPr>
        <w:t>Subrecipient Administrative Costs</w:t>
      </w:r>
      <w:r w:rsidRPr="00FC5249">
        <w:rPr>
          <w:b/>
        </w:rPr>
        <w:t xml:space="preserve"> </w:t>
      </w:r>
      <w:r>
        <w:t>– A subrecipient  may use funds made available by the recipient in its administrative cost allowance only for direct costs of requesting, obtaining, and administering its subawards (44 CFR section 207.9(b)(2)).</w:t>
      </w:r>
    </w:p>
    <w:p w14:paraId="3CF2A465" w14:textId="77777777" w:rsidR="00005152" w:rsidRDefault="00005152" w:rsidP="00AB7D57">
      <w:pPr>
        <w:tabs>
          <w:tab w:val="left" w:pos="-1440"/>
        </w:tabs>
        <w:ind w:left="2160" w:hanging="720"/>
      </w:pPr>
      <w:r>
        <w:t>c.</w:t>
      </w:r>
      <w:r>
        <w:tab/>
      </w:r>
      <w:r w:rsidRPr="00AD0EE0">
        <w:rPr>
          <w:i/>
          <w:iCs/>
        </w:rPr>
        <w:t>Indirect Costs</w:t>
      </w:r>
      <w:r>
        <w:rPr>
          <w:i/>
          <w:iCs/>
        </w:rPr>
        <w:t xml:space="preserve"> – </w:t>
      </w:r>
      <w:r>
        <w:t>Recipient indirect costs identified in accordance with the Federal cost principles are allowable.  Indirect costs at the subrecipient level are unallowable (44 CFR section 207.9(c)).</w:t>
      </w:r>
    </w:p>
    <w:p w14:paraId="439986DD" w14:textId="6049F90E" w:rsidR="00005152" w:rsidRPr="004C2341" w:rsidRDefault="00005152" w:rsidP="00AD0EE0">
      <w:pPr>
        <w:tabs>
          <w:tab w:val="left" w:pos="-1440"/>
        </w:tabs>
        <w:ind w:left="1440" w:hanging="720"/>
        <w:rPr>
          <w:i/>
        </w:rPr>
      </w:pPr>
      <w:r w:rsidRPr="00205B45">
        <w:t>2.</w:t>
      </w:r>
      <w:r>
        <w:rPr>
          <w:i/>
        </w:rPr>
        <w:tab/>
      </w:r>
      <w:r w:rsidRPr="00AD0EE0">
        <w:rPr>
          <w:b/>
          <w:i/>
        </w:rPr>
        <w:t xml:space="preserve">Management Costs for Federal disasters declared on or after </w:t>
      </w:r>
      <w:r w:rsidR="00AD0EE0">
        <w:rPr>
          <w:b/>
          <w:i/>
        </w:rPr>
        <w:br/>
      </w:r>
      <w:r w:rsidRPr="00AD0EE0">
        <w:rPr>
          <w:b/>
          <w:i/>
        </w:rPr>
        <w:t>November 13, 2007</w:t>
      </w:r>
    </w:p>
    <w:p w14:paraId="73D7B3C2" w14:textId="77777777" w:rsidR="00005152" w:rsidRPr="00E67FB8" w:rsidRDefault="00005152" w:rsidP="00ED4E69">
      <w:pPr>
        <w:numPr>
          <w:ilvl w:val="2"/>
          <w:numId w:val="25"/>
        </w:numPr>
        <w:tabs>
          <w:tab w:val="clear" w:pos="1980"/>
          <w:tab w:val="left" w:pos="-1440"/>
          <w:tab w:val="num" w:pos="2160"/>
        </w:tabs>
        <w:ind w:left="2160" w:hanging="720"/>
        <w:rPr>
          <w:i/>
        </w:rPr>
      </w:pPr>
      <w:r w:rsidRPr="00AD0EE0">
        <w:rPr>
          <w:i/>
        </w:rPr>
        <w:t>Recipient</w:t>
      </w:r>
      <w:r>
        <w:rPr>
          <w:i/>
        </w:rPr>
        <w:t xml:space="preserve">  – </w:t>
      </w:r>
      <w:r>
        <w:t>A State or Indian tribal government may use funds made available by FEMA under its management cost allowance for any indirect costs, any administrative expenses, and any other expenses not directly chargeable to a specific project that are reasonably incurred in administering and managing the HMGP.  All charges must be in accordance with 44 CFR part 207.</w:t>
      </w:r>
    </w:p>
    <w:p w14:paraId="351813C3" w14:textId="77777777" w:rsidR="00005152" w:rsidRPr="004C2341" w:rsidRDefault="00005152" w:rsidP="00ED4E69">
      <w:pPr>
        <w:numPr>
          <w:ilvl w:val="2"/>
          <w:numId w:val="25"/>
        </w:numPr>
        <w:tabs>
          <w:tab w:val="clear" w:pos="1980"/>
          <w:tab w:val="left" w:pos="-1440"/>
          <w:tab w:val="num" w:pos="2160"/>
        </w:tabs>
        <w:ind w:left="2160" w:hanging="720"/>
        <w:rPr>
          <w:i/>
        </w:rPr>
      </w:pPr>
      <w:r w:rsidRPr="00AD0EE0">
        <w:rPr>
          <w:i/>
        </w:rPr>
        <w:t>Subrecipient</w:t>
      </w:r>
      <w:r>
        <w:rPr>
          <w:i/>
        </w:rPr>
        <w:t xml:space="preserve">  – </w:t>
      </w:r>
      <w:r>
        <w:t xml:space="preserve">A State or Indian tribal government may identify and make funds for management costs available to subrecipients in accordance with the FEMA-approved HMGP Administrative Plan.  A subrecipient may use funds made available for management costs for any indirect costs, administrative expenses, and other expenses not directly chargeable to a specific project that are reasonably incurred in administering and managing the HMGP subaward (44 CFR section 207.6).  See also definition of “Management Costs,” 44 CFR section 207.2.) </w:t>
      </w:r>
    </w:p>
    <w:p w14:paraId="77BAE419" w14:textId="77777777" w:rsidR="00005152" w:rsidRDefault="00005152" w:rsidP="009E2214">
      <w:r>
        <w:rPr>
          <w:b/>
          <w:bCs/>
        </w:rPr>
        <w:t>E.</w:t>
      </w:r>
      <w:r>
        <w:rPr>
          <w:b/>
          <w:bCs/>
        </w:rPr>
        <w:tab/>
        <w:t>Eligibility</w:t>
      </w:r>
    </w:p>
    <w:p w14:paraId="57CD7F21" w14:textId="77777777" w:rsidR="00005152" w:rsidRDefault="00005152" w:rsidP="009E2214">
      <w:pPr>
        <w:ind w:firstLine="720"/>
      </w:pPr>
      <w:r>
        <w:rPr>
          <w:b/>
          <w:bCs/>
        </w:rPr>
        <w:t>1.</w:t>
      </w:r>
      <w:r>
        <w:rPr>
          <w:b/>
          <w:bCs/>
        </w:rPr>
        <w:tab/>
        <w:t>Eligibility for Individuals</w:t>
      </w:r>
      <w:r>
        <w:t xml:space="preserve"> – Not Applicable </w:t>
      </w:r>
    </w:p>
    <w:p w14:paraId="0192EC22" w14:textId="77777777" w:rsidR="00005152" w:rsidRDefault="00005152" w:rsidP="009E2214">
      <w:pPr>
        <w:tabs>
          <w:tab w:val="left" w:pos="-1440"/>
        </w:tabs>
        <w:ind w:left="1440" w:hanging="720"/>
      </w:pPr>
      <w:r>
        <w:rPr>
          <w:b/>
          <w:bCs/>
        </w:rPr>
        <w:t>2.</w:t>
      </w:r>
      <w:r>
        <w:rPr>
          <w:b/>
          <w:bCs/>
        </w:rPr>
        <w:tab/>
        <w:t>Eligibility for Group of Individuals or Area of Service Delivery</w:t>
      </w:r>
      <w:r>
        <w:t xml:space="preserve"> – Not Applicable</w:t>
      </w:r>
    </w:p>
    <w:p w14:paraId="7C799157" w14:textId="77777777" w:rsidR="00005152" w:rsidRDefault="00005152" w:rsidP="009E2214">
      <w:pPr>
        <w:tabs>
          <w:tab w:val="left" w:pos="-1440"/>
        </w:tabs>
        <w:ind w:left="1440" w:hanging="720"/>
      </w:pPr>
      <w:r>
        <w:rPr>
          <w:b/>
          <w:bCs/>
        </w:rPr>
        <w:t>3.</w:t>
      </w:r>
      <w:r>
        <w:rPr>
          <w:b/>
          <w:bCs/>
        </w:rPr>
        <w:tab/>
        <w:t>Eligibility for Subrecipients</w:t>
      </w:r>
    </w:p>
    <w:p w14:paraId="5EC9B143" w14:textId="77777777" w:rsidR="00005152" w:rsidRPr="002E3708" w:rsidRDefault="00005152" w:rsidP="009E2214">
      <w:pPr>
        <w:ind w:left="1440"/>
      </w:pPr>
      <w:r w:rsidRPr="002E3708">
        <w:t xml:space="preserve">The following types of entities are eligible to apply </w:t>
      </w:r>
      <w:r>
        <w:t xml:space="preserve">for HMGP subawards.  </w:t>
      </w:r>
      <w:r w:rsidRPr="002E3708">
        <w:t>Additionally, an eligible entity must have a FEMA-approved Mitigation Plan to be eligible to receive a project sub</w:t>
      </w:r>
      <w:r>
        <w:t xml:space="preserve">award </w:t>
      </w:r>
      <w:r w:rsidRPr="002E3708">
        <w:t>(44 CFR sections 201.6 and 201.7).</w:t>
      </w:r>
    </w:p>
    <w:p w14:paraId="7AA24A0D" w14:textId="77777777" w:rsidR="00005152" w:rsidRDefault="00005152" w:rsidP="009E2214">
      <w:pPr>
        <w:ind w:firstLine="1440"/>
      </w:pPr>
      <w:r>
        <w:t>a.</w:t>
      </w:r>
      <w:r>
        <w:tab/>
        <w:t>State and local governments;</w:t>
      </w:r>
    </w:p>
    <w:p w14:paraId="3EFFD872" w14:textId="77777777" w:rsidR="00005152" w:rsidRDefault="00005152" w:rsidP="009E2214">
      <w:pPr>
        <w:tabs>
          <w:tab w:val="left" w:pos="-1440"/>
        </w:tabs>
        <w:ind w:left="2160" w:hanging="720"/>
      </w:pPr>
      <w:r>
        <w:lastRenderedPageBreak/>
        <w:t>b.</w:t>
      </w:r>
      <w:r>
        <w:tab/>
        <w:t>Private non-profit organizations or institutions that own or operate a private non-profit facility as defined at 44 CFR section 206.221(e); and</w:t>
      </w:r>
    </w:p>
    <w:p w14:paraId="781F73D7" w14:textId="77777777" w:rsidR="00005152" w:rsidRDefault="00005152" w:rsidP="009E2214">
      <w:pPr>
        <w:tabs>
          <w:tab w:val="left" w:pos="-1440"/>
        </w:tabs>
        <w:ind w:left="2160" w:hanging="720"/>
      </w:pPr>
      <w:r>
        <w:t>c.</w:t>
      </w:r>
      <w:r>
        <w:tab/>
        <w:t>Indian tribal governments and Alaskan Native villages or organizations (44 CFR section 206.434(a)).</w:t>
      </w:r>
    </w:p>
    <w:p w14:paraId="69ABE48E" w14:textId="77777777" w:rsidR="00005152" w:rsidRDefault="00005152" w:rsidP="00AB7D57">
      <w:pPr>
        <w:keepNext/>
        <w:keepLines/>
        <w:tabs>
          <w:tab w:val="left" w:pos="720"/>
        </w:tabs>
        <w:rPr>
          <w:b/>
          <w:bCs/>
        </w:rPr>
      </w:pPr>
      <w:r>
        <w:rPr>
          <w:b/>
          <w:bCs/>
        </w:rPr>
        <w:t>G.</w:t>
      </w:r>
      <w:r>
        <w:rPr>
          <w:b/>
          <w:bCs/>
        </w:rPr>
        <w:tab/>
        <w:t>Matching, Level of Effort, Earmarking</w:t>
      </w:r>
    </w:p>
    <w:p w14:paraId="026C19B2" w14:textId="77777777" w:rsidR="00005152" w:rsidRDefault="00005152" w:rsidP="00D7252E">
      <w:pPr>
        <w:tabs>
          <w:tab w:val="left" w:pos="-1440"/>
        </w:tabs>
        <w:ind w:left="1440" w:hanging="720"/>
        <w:rPr>
          <w:b/>
          <w:bCs/>
        </w:rPr>
      </w:pPr>
      <w:r>
        <w:rPr>
          <w:b/>
          <w:bCs/>
        </w:rPr>
        <w:t>1.</w:t>
      </w:r>
      <w:r>
        <w:rPr>
          <w:b/>
          <w:bCs/>
        </w:rPr>
        <w:tab/>
        <w:t>Matching</w:t>
      </w:r>
    </w:p>
    <w:p w14:paraId="082269AE" w14:textId="77777777" w:rsidR="00005152" w:rsidRDefault="00005152" w:rsidP="00D7252E">
      <w:pPr>
        <w:autoSpaceDE w:val="0"/>
        <w:autoSpaceDN w:val="0"/>
        <w:adjustRightInd w:val="0"/>
        <w:ind w:left="1440"/>
        <w:rPr>
          <w:color w:val="000000"/>
        </w:rPr>
      </w:pPr>
      <w:r>
        <w:t xml:space="preserve">The Federal and non-Federal shares of a grant’s cost are established in the FEMA-State or FEMA-tribal government Agreement.  While the non-Federal share may exceed the Federal share, it may never be less than 25 percent of the cost of a grant approved for disasters declared after June 10, 1993 (that is, the Federal share may never exceed 75 percent.)  The Federal share may not exceed 50 percent for grants approved for disasters declared before that date.  For Federal disasters declared prior to November 13, 2007, funds made available to a recipient or subrecipient in its administrative cost allowance are not subject to this limitation, i.e., funding for those costs may exceed 75 percent.  Likewise, for Federal disasters declared on or after November 13, 2007, funds made available to a State for management costs or to a subrecipient for management costs that are not directly related to a specific award are not subject to this limitation (44 CFR section 206.432(c)).  </w:t>
      </w:r>
      <w:r w:rsidRPr="005C276B">
        <w:rPr>
          <w:color w:val="000000"/>
        </w:rPr>
        <w:t>The 2010 Supplemental Disaster Relief and Summer Jobs Act (P</w:t>
      </w:r>
      <w:r>
        <w:rPr>
          <w:color w:val="000000"/>
        </w:rPr>
        <w:t>ub. L. No.</w:t>
      </w:r>
      <w:r w:rsidRPr="005C276B">
        <w:rPr>
          <w:color w:val="000000"/>
        </w:rPr>
        <w:t xml:space="preserve"> 111-212</w:t>
      </w:r>
      <w:r>
        <w:rPr>
          <w:color w:val="000000"/>
        </w:rPr>
        <w:t>, Section 603</w:t>
      </w:r>
      <w:r w:rsidRPr="005C276B">
        <w:rPr>
          <w:color w:val="000000"/>
        </w:rPr>
        <w:t xml:space="preserve">) included language that allows the </w:t>
      </w:r>
      <w:r>
        <w:rPr>
          <w:color w:val="000000"/>
        </w:rPr>
        <w:t>FEMA Administrator to consider</w:t>
      </w:r>
      <w:r w:rsidRPr="005C276B">
        <w:rPr>
          <w:color w:val="000000"/>
        </w:rPr>
        <w:t xml:space="preserve"> the non-</w:t>
      </w:r>
      <w:r>
        <w:rPr>
          <w:color w:val="000000"/>
        </w:rPr>
        <w:t>F</w:t>
      </w:r>
      <w:r w:rsidRPr="005C276B">
        <w:rPr>
          <w:color w:val="000000"/>
        </w:rPr>
        <w:t xml:space="preserve">ederal cost share satisfied for all Katrina declarations.  This language affects DR-1602-FL, DR-1603-LA, DR-1604-MS and DR-1605-AL.  </w:t>
      </w:r>
    </w:p>
    <w:p w14:paraId="2B3CEB8A" w14:textId="77777777" w:rsidR="00005152" w:rsidRDefault="00005152" w:rsidP="009E2214">
      <w:pPr>
        <w:tabs>
          <w:tab w:val="left" w:pos="-1440"/>
        </w:tabs>
        <w:ind w:left="1440" w:hanging="720"/>
      </w:pPr>
      <w:r>
        <w:rPr>
          <w:b/>
          <w:bCs/>
        </w:rPr>
        <w:t>2.</w:t>
      </w:r>
      <w:r>
        <w:rPr>
          <w:b/>
          <w:bCs/>
        </w:rPr>
        <w:tab/>
        <w:t>Level of Effort</w:t>
      </w:r>
      <w:r>
        <w:t xml:space="preserve"> – Not Applicable</w:t>
      </w:r>
    </w:p>
    <w:p w14:paraId="5B24E7DC" w14:textId="77777777" w:rsidR="00005152" w:rsidRDefault="00005152" w:rsidP="00AB7D57">
      <w:pPr>
        <w:tabs>
          <w:tab w:val="left" w:pos="-1440"/>
        </w:tabs>
        <w:ind w:left="1440" w:hanging="720"/>
      </w:pPr>
      <w:r>
        <w:rPr>
          <w:b/>
          <w:bCs/>
        </w:rPr>
        <w:t>3.</w:t>
      </w:r>
      <w:r>
        <w:rPr>
          <w:b/>
          <w:bCs/>
        </w:rPr>
        <w:tab/>
        <w:t xml:space="preserve">Earmarking – </w:t>
      </w:r>
      <w:r>
        <w:t xml:space="preserve">Not Applicable </w:t>
      </w:r>
    </w:p>
    <w:p w14:paraId="31DFD29B" w14:textId="77777777" w:rsidR="00005152" w:rsidRDefault="00005152" w:rsidP="009E2214">
      <w:pPr>
        <w:keepNext/>
        <w:keepLines/>
        <w:tabs>
          <w:tab w:val="left" w:pos="-1440"/>
        </w:tabs>
        <w:ind w:left="720" w:hanging="720"/>
      </w:pPr>
      <w:r>
        <w:rPr>
          <w:b/>
          <w:bCs/>
        </w:rPr>
        <w:t>L.</w:t>
      </w:r>
      <w:r>
        <w:rPr>
          <w:b/>
          <w:bCs/>
        </w:rPr>
        <w:tab/>
        <w:t>Reporting</w:t>
      </w:r>
    </w:p>
    <w:p w14:paraId="729F40D9" w14:textId="77777777" w:rsidR="00005152" w:rsidRDefault="00005152" w:rsidP="009E2214">
      <w:pPr>
        <w:keepNext/>
        <w:keepLines/>
        <w:tabs>
          <w:tab w:val="left" w:pos="-1440"/>
        </w:tabs>
        <w:ind w:left="1440" w:hanging="720"/>
      </w:pPr>
      <w:r>
        <w:rPr>
          <w:b/>
          <w:bCs/>
        </w:rPr>
        <w:t>1.</w:t>
      </w:r>
      <w:r>
        <w:rPr>
          <w:b/>
          <w:bCs/>
        </w:rPr>
        <w:tab/>
        <w:t>Financial Reporting</w:t>
      </w:r>
    </w:p>
    <w:p w14:paraId="6287BC0B" w14:textId="77777777" w:rsidR="00005152" w:rsidRDefault="00005152" w:rsidP="009E2214">
      <w:pPr>
        <w:tabs>
          <w:tab w:val="left" w:pos="-1440"/>
        </w:tabs>
        <w:ind w:left="2160" w:hanging="720"/>
      </w:pPr>
      <w:r>
        <w:t>a.</w:t>
      </w:r>
      <w:r>
        <w:tab/>
        <w:t xml:space="preserve">SF-270, </w:t>
      </w:r>
      <w:r>
        <w:rPr>
          <w:i/>
          <w:iCs/>
        </w:rPr>
        <w:t>Request for Advance or Reimbursement</w:t>
      </w:r>
      <w:r>
        <w:t xml:space="preserve"> – Applicable</w:t>
      </w:r>
    </w:p>
    <w:p w14:paraId="0C45CB8A" w14:textId="77777777" w:rsidR="00005152" w:rsidRDefault="00005152" w:rsidP="009E2214">
      <w:pPr>
        <w:tabs>
          <w:tab w:val="left" w:pos="-1440"/>
        </w:tabs>
        <w:ind w:left="2160" w:hanging="720"/>
      </w:pPr>
      <w:r>
        <w:t>b.</w:t>
      </w:r>
      <w:r>
        <w:tab/>
      </w:r>
      <w:r w:rsidRPr="00DD264F">
        <w:t xml:space="preserve">SF-271, </w:t>
      </w:r>
      <w:r w:rsidRPr="00DD264F">
        <w:rPr>
          <w:i/>
          <w:iCs/>
        </w:rPr>
        <w:t xml:space="preserve">Outlay Report and Request for Reimbursement for </w:t>
      </w:r>
      <w:r w:rsidRPr="00A371BD">
        <w:rPr>
          <w:i/>
          <w:iCs/>
        </w:rPr>
        <w:t>Construction</w:t>
      </w:r>
      <w:r w:rsidRPr="00DD264F">
        <w:t xml:space="preserve"> </w:t>
      </w:r>
      <w:r w:rsidRPr="00DD264F">
        <w:rPr>
          <w:i/>
          <w:iCs/>
        </w:rPr>
        <w:t>Programs</w:t>
      </w:r>
      <w:r w:rsidRPr="00DD264F">
        <w:t xml:space="preserve"> – Applicable if the State has a grant for direct construction.</w:t>
      </w:r>
    </w:p>
    <w:p w14:paraId="6C9E22EE" w14:textId="77777777" w:rsidR="00005152" w:rsidRDefault="00005152" w:rsidP="009E2214">
      <w:pPr>
        <w:tabs>
          <w:tab w:val="left" w:pos="-1440"/>
        </w:tabs>
        <w:ind w:left="2160" w:hanging="720"/>
      </w:pPr>
      <w:r>
        <w:t>c.</w:t>
      </w:r>
      <w:r>
        <w:tab/>
        <w:t xml:space="preserve">SF-425, </w:t>
      </w:r>
      <w:r w:rsidRPr="00B85270">
        <w:rPr>
          <w:i/>
        </w:rPr>
        <w:t>Federal Financial Report</w:t>
      </w:r>
      <w:r>
        <w:t xml:space="preserve"> – Applicable </w:t>
      </w:r>
    </w:p>
    <w:p w14:paraId="09AEEE57" w14:textId="77777777" w:rsidR="00005152" w:rsidRDefault="00005152" w:rsidP="009E2214">
      <w:pPr>
        <w:tabs>
          <w:tab w:val="left" w:pos="-1440"/>
        </w:tabs>
        <w:ind w:left="1440" w:hanging="720"/>
      </w:pPr>
      <w:r>
        <w:rPr>
          <w:b/>
          <w:bCs/>
        </w:rPr>
        <w:t>2.</w:t>
      </w:r>
      <w:r>
        <w:rPr>
          <w:b/>
          <w:bCs/>
        </w:rPr>
        <w:tab/>
        <w:t>Performance Reporting</w:t>
      </w:r>
      <w:r>
        <w:t xml:space="preserve"> – Not Applicable</w:t>
      </w:r>
    </w:p>
    <w:p w14:paraId="16FA260C" w14:textId="77777777" w:rsidR="00005152" w:rsidRDefault="00005152" w:rsidP="009E2214">
      <w:pPr>
        <w:tabs>
          <w:tab w:val="left" w:pos="-1440"/>
        </w:tabs>
        <w:ind w:left="1440" w:hanging="720"/>
      </w:pPr>
      <w:r>
        <w:rPr>
          <w:b/>
          <w:bCs/>
        </w:rPr>
        <w:t>3.</w:t>
      </w:r>
      <w:r>
        <w:rPr>
          <w:b/>
          <w:bCs/>
        </w:rPr>
        <w:tab/>
        <w:t xml:space="preserve">Special Reporting – </w:t>
      </w:r>
      <w:r>
        <w:t>Not Applicable</w:t>
      </w:r>
    </w:p>
    <w:p w14:paraId="159254CE" w14:textId="77777777" w:rsidR="00005152" w:rsidRDefault="00005152" w:rsidP="00AB7D57">
      <w:pPr>
        <w:keepNext/>
        <w:keepLines/>
      </w:pPr>
      <w:r>
        <w:rPr>
          <w:b/>
          <w:bCs/>
        </w:rPr>
        <w:lastRenderedPageBreak/>
        <w:t>IV.</w:t>
      </w:r>
      <w:r>
        <w:rPr>
          <w:b/>
          <w:bCs/>
        </w:rPr>
        <w:tab/>
        <w:t>OTHER INFORMATION</w:t>
      </w:r>
    </w:p>
    <w:p w14:paraId="29CC3063" w14:textId="77777777" w:rsidR="00005152" w:rsidRDefault="00005152" w:rsidP="00AB7D57">
      <w:pPr>
        <w:keepNext/>
        <w:keepLines/>
        <w:rPr>
          <w:i/>
          <w:iCs/>
        </w:rPr>
      </w:pPr>
      <w:r>
        <w:rPr>
          <w:i/>
          <w:iCs/>
        </w:rPr>
        <w:t>Subawards to Other State Agencies or Indian Tribal Governments</w:t>
      </w:r>
    </w:p>
    <w:p w14:paraId="19691FBB" w14:textId="77777777" w:rsidR="00005152" w:rsidRPr="001476AA" w:rsidRDefault="00005152" w:rsidP="00736119">
      <w:pPr>
        <w:keepNext/>
        <w:keepLines/>
      </w:pPr>
      <w:r>
        <w:t>In the administration of this grant, the State or Indian tribal government may provide subaward funds to another part of the State (e.g., a State agency) or designated area within an Indian tribal government.  If the part of the State or Indian tribal government receiving the subaward is included in the audit of the State, such as a State-wide audit, or Indian tribe, as applicable, then for purposes of determining Type A programs and reporting on the Schedule of Expenditures of Federal Awards, these subawards within the single audit reporting entity (State or Indian tribe) should be eliminated.  However, all Federal awards expended under this program (including subawards) are subject to</w:t>
      </w:r>
      <w:r w:rsidRPr="00963B63">
        <w:t xml:space="preserve">2 CFR part 200, </w:t>
      </w:r>
      <w:r>
        <w:t>s</w:t>
      </w:r>
      <w:r w:rsidRPr="00963B63">
        <w:t>ubpart F</w:t>
      </w:r>
      <w:r>
        <w:t>.</w:t>
      </w:r>
    </w:p>
    <w:p w14:paraId="33864583" w14:textId="77777777" w:rsidR="00005152" w:rsidRDefault="00005152" w:rsidP="00621760">
      <w:pPr>
        <w:ind w:left="720" w:hanging="720"/>
        <w:sectPr w:rsidR="00005152" w:rsidSect="00AB7D57">
          <w:headerReference w:type="default" r:id="rId13"/>
          <w:footerReference w:type="default" r:id="rId14"/>
          <w:pgSz w:w="12240" w:h="15840" w:code="1"/>
          <w:pgMar w:top="1440" w:right="1440" w:bottom="1440" w:left="1440" w:header="720" w:footer="720" w:gutter="0"/>
          <w:pgNumType w:start="1"/>
          <w:cols w:space="720"/>
          <w:docGrid w:linePitch="360"/>
        </w:sectPr>
      </w:pPr>
    </w:p>
    <w:p w14:paraId="1B809411" w14:textId="77777777" w:rsidR="004B570A" w:rsidRDefault="004B570A" w:rsidP="00AB7D57">
      <w:pPr>
        <w:pStyle w:val="Title"/>
        <w:ind w:firstLine="720"/>
      </w:pPr>
      <w:r>
        <w:lastRenderedPageBreak/>
        <w:t>DEPARTMENT OF HOMELAND SECURITY</w:t>
      </w:r>
    </w:p>
    <w:p w14:paraId="2EBD2020" w14:textId="77777777" w:rsidR="004B570A" w:rsidRDefault="004B570A" w:rsidP="00D23031">
      <w:pPr>
        <w:tabs>
          <w:tab w:val="left" w:pos="198"/>
          <w:tab w:val="left" w:pos="2160"/>
        </w:tabs>
        <w:rPr>
          <w:b/>
        </w:rPr>
      </w:pPr>
      <w:r w:rsidRPr="00FD1A32">
        <w:rPr>
          <w:b/>
        </w:rPr>
        <w:t>CFDA 97.067</w:t>
      </w:r>
      <w:r w:rsidRPr="00FD1A32">
        <w:rPr>
          <w:b/>
        </w:rPr>
        <w:tab/>
        <w:t>HOMELAND SECURITY GRANT PROGRAM</w:t>
      </w:r>
    </w:p>
    <w:p w14:paraId="28863E33" w14:textId="77777777" w:rsidR="004B570A" w:rsidRPr="002D3F4D" w:rsidRDefault="004B570A" w:rsidP="00D23031">
      <w:pPr>
        <w:outlineLvl w:val="0"/>
      </w:pPr>
      <w:r w:rsidRPr="002D3F4D">
        <w:rPr>
          <w:b/>
        </w:rPr>
        <w:t>I.</w:t>
      </w:r>
      <w:r w:rsidRPr="002D3F4D">
        <w:rPr>
          <w:b/>
        </w:rPr>
        <w:tab/>
        <w:t>PROGRAM OBJECTIVES</w:t>
      </w:r>
    </w:p>
    <w:p w14:paraId="410CE472" w14:textId="77777777" w:rsidR="004B570A" w:rsidRDefault="004B570A" w:rsidP="0059428B">
      <w:r>
        <w:t>The purpose of the Homeland Security Grant Program (HSGP) is to support State and local efforts to prevent acts of terrorism and other catastrophic events, and to prepare the Nation for the threats a</w:t>
      </w:r>
      <w:bookmarkStart w:id="2" w:name="_GoBack"/>
      <w:bookmarkEnd w:id="2"/>
      <w:r>
        <w:t>nd hazards that pose the greatest risk to the security of the United States.  The HSGP provides funding to implement investments that build, sustain, and deliver the 31 core capabilities essential to achieving the National Preparedness Goal of a secure and resilient Nation.  The building, sustainment, and delivery of these core capabilities are not exclusive to any single level of government, organization, or community, but rather, require the combined effort of the whole community.  The HSGP supports core capabilities across the five mission areas of Prevention, Protection, Mitigation, Response, and Recovery.  HSGP is comprised of three grant programs:</w:t>
      </w:r>
    </w:p>
    <w:p w14:paraId="26A4D2EA" w14:textId="77777777" w:rsidR="004B570A" w:rsidRPr="00DC3AE5" w:rsidRDefault="004B570A" w:rsidP="004B570A">
      <w:pPr>
        <w:pStyle w:val="ListParagraph"/>
        <w:numPr>
          <w:ilvl w:val="0"/>
          <w:numId w:val="34"/>
        </w:numPr>
        <w:spacing w:after="240"/>
        <w:ind w:hanging="720"/>
        <w:rPr>
          <w:rFonts w:ascii="Times New Roman" w:hAnsi="Times New Roman" w:cs="Times New Roman"/>
          <w:sz w:val="24"/>
          <w:szCs w:val="24"/>
        </w:rPr>
      </w:pPr>
      <w:r w:rsidRPr="00DC3AE5">
        <w:rPr>
          <w:rFonts w:ascii="Times New Roman" w:hAnsi="Times New Roman" w:cs="Times New Roman"/>
          <w:sz w:val="24"/>
          <w:szCs w:val="24"/>
        </w:rPr>
        <w:t>State Homeland Security Program (SHSP)</w:t>
      </w:r>
    </w:p>
    <w:p w14:paraId="4B544B0F" w14:textId="77777777" w:rsidR="004B570A" w:rsidRPr="00DC3AE5" w:rsidRDefault="004B570A" w:rsidP="004B570A">
      <w:pPr>
        <w:pStyle w:val="ListParagraph"/>
        <w:numPr>
          <w:ilvl w:val="0"/>
          <w:numId w:val="34"/>
        </w:numPr>
        <w:spacing w:after="240"/>
        <w:ind w:hanging="720"/>
        <w:rPr>
          <w:rFonts w:ascii="Times New Roman" w:hAnsi="Times New Roman" w:cs="Times New Roman"/>
          <w:sz w:val="24"/>
          <w:szCs w:val="24"/>
        </w:rPr>
      </w:pPr>
      <w:r w:rsidRPr="00DC3AE5">
        <w:rPr>
          <w:rFonts w:ascii="Times New Roman" w:hAnsi="Times New Roman" w:cs="Times New Roman"/>
          <w:sz w:val="24"/>
          <w:szCs w:val="24"/>
        </w:rPr>
        <w:t>Urban Areas Security Initiative (UASI)</w:t>
      </w:r>
    </w:p>
    <w:p w14:paraId="0156B1E3" w14:textId="77777777" w:rsidR="004B570A" w:rsidRPr="00DC3AE5" w:rsidRDefault="004B570A" w:rsidP="004B570A">
      <w:pPr>
        <w:pStyle w:val="ListParagraph"/>
        <w:numPr>
          <w:ilvl w:val="0"/>
          <w:numId w:val="34"/>
        </w:numPr>
        <w:spacing w:after="240"/>
        <w:ind w:hanging="720"/>
        <w:rPr>
          <w:rFonts w:ascii="Times New Roman" w:hAnsi="Times New Roman" w:cs="Times New Roman"/>
          <w:sz w:val="24"/>
          <w:szCs w:val="24"/>
        </w:rPr>
      </w:pPr>
      <w:r w:rsidRPr="00DC3AE5">
        <w:rPr>
          <w:rFonts w:ascii="Times New Roman" w:hAnsi="Times New Roman" w:cs="Times New Roman"/>
          <w:sz w:val="24"/>
          <w:szCs w:val="24"/>
        </w:rPr>
        <w:t>Operation Stonegarden (OPSG)</w:t>
      </w:r>
    </w:p>
    <w:p w14:paraId="0944C9E1" w14:textId="77777777" w:rsidR="004B570A" w:rsidRDefault="004B570A" w:rsidP="0059428B">
      <w:r>
        <w:t>Together, these grant programs fund a range of activities, including planning, organization, equipment purchase, training, exercises, and management and administration across all core capabilities and mission areas.</w:t>
      </w:r>
    </w:p>
    <w:p w14:paraId="2F017935" w14:textId="77777777" w:rsidR="004B570A" w:rsidRPr="004D1E7D" w:rsidRDefault="004B570A" w:rsidP="00D23031">
      <w:pPr>
        <w:keepNext/>
        <w:keepLines/>
      </w:pPr>
      <w:r w:rsidRPr="004D1E7D">
        <w:rPr>
          <w:b/>
        </w:rPr>
        <w:t>II.</w:t>
      </w:r>
      <w:r w:rsidRPr="004D1E7D">
        <w:rPr>
          <w:b/>
        </w:rPr>
        <w:tab/>
        <w:t>PROGRAM PROCEDURES</w:t>
      </w:r>
    </w:p>
    <w:p w14:paraId="6693B022" w14:textId="77777777" w:rsidR="004B570A" w:rsidRDefault="004B570A" w:rsidP="003E503E">
      <w:r>
        <w:t xml:space="preserve">Since its inception, the HSGP has included various funding streams (programs), including the SHSP, the Law Enforcement Terrorism Prevention Program (LETPP), the Citizens Corps Program (CCP), the UASI Program, Metropolitan Medical Response System (MMRS), and OPSG.  Over the years, the HSGP programs have evolved to address the needs of communities by providing resources to address capability gaps.  </w:t>
      </w:r>
    </w:p>
    <w:p w14:paraId="4AD8E5F0" w14:textId="77777777" w:rsidR="004B570A" w:rsidRDefault="004B570A" w:rsidP="003E503E">
      <w:r>
        <w:t>The current programs and their objectives are as follows:</w:t>
      </w:r>
    </w:p>
    <w:p w14:paraId="7DF9FD01" w14:textId="77777777" w:rsidR="004B570A" w:rsidRPr="0000331B" w:rsidRDefault="004B570A" w:rsidP="004B570A">
      <w:pPr>
        <w:ind w:left="720" w:hanging="720"/>
        <w:rPr>
          <w:b/>
        </w:rPr>
      </w:pPr>
      <w:r>
        <w:t>a.</w:t>
      </w:r>
      <w:r>
        <w:tab/>
      </w:r>
      <w:r w:rsidRPr="00F27DAC">
        <w:rPr>
          <w:i/>
        </w:rPr>
        <w:t>S</w:t>
      </w:r>
      <w:r>
        <w:rPr>
          <w:i/>
        </w:rPr>
        <w:t xml:space="preserve">tate </w:t>
      </w:r>
      <w:r w:rsidRPr="00F27DAC">
        <w:rPr>
          <w:i/>
        </w:rPr>
        <w:t>H</w:t>
      </w:r>
      <w:r>
        <w:rPr>
          <w:i/>
        </w:rPr>
        <w:t xml:space="preserve">omeland </w:t>
      </w:r>
      <w:r w:rsidRPr="00F27DAC">
        <w:rPr>
          <w:i/>
        </w:rPr>
        <w:t>S</w:t>
      </w:r>
      <w:r>
        <w:rPr>
          <w:i/>
        </w:rPr>
        <w:t xml:space="preserve">ecurity </w:t>
      </w:r>
      <w:r w:rsidRPr="00F27DAC">
        <w:rPr>
          <w:i/>
        </w:rPr>
        <w:t>P</w:t>
      </w:r>
      <w:r>
        <w:rPr>
          <w:i/>
        </w:rPr>
        <w:t>rogram</w:t>
      </w:r>
      <w:r>
        <w:t>:</w:t>
      </w:r>
      <w:r>
        <w:rPr>
          <w:i/>
        </w:rPr>
        <w:t xml:space="preserve"> </w:t>
      </w:r>
      <w:r>
        <w:t xml:space="preserve"> The </w:t>
      </w:r>
      <w:r w:rsidRPr="0000331B">
        <w:t>SHSP</w:t>
      </w:r>
      <w:r w:rsidRPr="00E4431B">
        <w:t xml:space="preserve"> </w:t>
      </w:r>
      <w:r>
        <w:t xml:space="preserve">assists State, tribal and local preparedness activities that address high-priority preparedness gaps across all core capabilities where a nexus to terrorism exists.  All supported investments are based on capability targets and gaps identified during </w:t>
      </w:r>
      <w:r w:rsidRPr="00E4431B">
        <w:t xml:space="preserve">the </w:t>
      </w:r>
      <w:r>
        <w:t>Threat and Hazard Identification and Risk Assessment (</w:t>
      </w:r>
      <w:r w:rsidRPr="00E4431B">
        <w:t>THIRA</w:t>
      </w:r>
      <w:r>
        <w:t>)</w:t>
      </w:r>
      <w:r w:rsidRPr="00E4431B">
        <w:t xml:space="preserve"> process, and assessed in the </w:t>
      </w:r>
      <w:r>
        <w:t>State Preparedness Report (</w:t>
      </w:r>
      <w:r w:rsidRPr="00E4431B">
        <w:t>SPR</w:t>
      </w:r>
      <w:r>
        <w:t xml:space="preserve">).  </w:t>
      </w:r>
      <w:r w:rsidRPr="00E4431B">
        <w:t xml:space="preserve"> </w:t>
      </w:r>
    </w:p>
    <w:p w14:paraId="1C6A98C6" w14:textId="77777777" w:rsidR="004B570A" w:rsidRPr="00DC3AE5" w:rsidRDefault="004B570A" w:rsidP="004B570A">
      <w:pPr>
        <w:pStyle w:val="ListParagraph"/>
        <w:numPr>
          <w:ilvl w:val="0"/>
          <w:numId w:val="35"/>
        </w:numPr>
        <w:spacing w:after="240"/>
        <w:ind w:hanging="720"/>
        <w:rPr>
          <w:rFonts w:ascii="Times New Roman" w:hAnsi="Times New Roman" w:cs="Times New Roman"/>
          <w:b/>
          <w:sz w:val="24"/>
          <w:szCs w:val="24"/>
        </w:rPr>
      </w:pPr>
      <w:r w:rsidRPr="00DC3AE5">
        <w:rPr>
          <w:rFonts w:ascii="Times New Roman" w:hAnsi="Times New Roman" w:cs="Times New Roman"/>
          <w:i/>
          <w:sz w:val="24"/>
          <w:szCs w:val="24"/>
        </w:rPr>
        <w:t>Urban Areas Security Initiative</w:t>
      </w:r>
      <w:r w:rsidRPr="00DC3AE5">
        <w:rPr>
          <w:rFonts w:ascii="Times New Roman" w:hAnsi="Times New Roman" w:cs="Times New Roman"/>
          <w:sz w:val="24"/>
          <w:szCs w:val="24"/>
        </w:rPr>
        <w:t xml:space="preserve">: The UASI program addresses the unique risk-driven and capabilities-based planning, organization, equipment, training, and exercise needs of high-threat, high-density urban areas based on the capability targets identified during the THIRA process and associated assessment efforts, and assists them in building an </w:t>
      </w:r>
      <w:r w:rsidRPr="00DC3AE5">
        <w:rPr>
          <w:rFonts w:ascii="Times New Roman" w:hAnsi="Times New Roman" w:cs="Times New Roman"/>
          <w:sz w:val="24"/>
          <w:szCs w:val="24"/>
        </w:rPr>
        <w:lastRenderedPageBreak/>
        <w:t>enhanced and sustainable capacity to prevent, protect against, mitigate, respond to, and recover from acts of terrorism.</w:t>
      </w:r>
    </w:p>
    <w:p w14:paraId="2ED1B374" w14:textId="77777777" w:rsidR="004B570A" w:rsidRDefault="004B570A" w:rsidP="004B570A">
      <w:pPr>
        <w:pStyle w:val="NormalWeb"/>
        <w:numPr>
          <w:ilvl w:val="0"/>
          <w:numId w:val="35"/>
        </w:numPr>
        <w:tabs>
          <w:tab w:val="left" w:pos="1080"/>
        </w:tabs>
        <w:spacing w:before="0" w:beforeAutospacing="0" w:after="240" w:afterAutospacing="0"/>
        <w:ind w:hanging="720"/>
      </w:pPr>
      <w:r w:rsidRPr="00217816">
        <w:rPr>
          <w:rFonts w:cs="Arial"/>
          <w:i/>
        </w:rPr>
        <w:t>Operation Stonegarden</w:t>
      </w:r>
      <w:r>
        <w:rPr>
          <w:rFonts w:cs="Arial"/>
        </w:rPr>
        <w:t xml:space="preserve">: </w:t>
      </w:r>
      <w:r w:rsidRPr="00D27385">
        <w:t xml:space="preserve"> </w:t>
      </w:r>
      <w:r w:rsidRPr="003638F0">
        <w:t xml:space="preserve">OPSG supports enhanced cooperation and coordination </w:t>
      </w:r>
      <w:r>
        <w:t xml:space="preserve">between CBP Border Patrol and </w:t>
      </w:r>
      <w:r w:rsidRPr="003638F0">
        <w:t xml:space="preserve">local, </w:t>
      </w:r>
      <w:r>
        <w:t>tribal</w:t>
      </w:r>
      <w:r w:rsidRPr="003638F0">
        <w:t xml:space="preserve">, territorial, State, and Federal law enforcement agencies in a joint mission to secure the United States’ </w:t>
      </w:r>
      <w:r>
        <w:t>b</w:t>
      </w:r>
      <w:r w:rsidRPr="003638F0">
        <w:t>orders along routes of ingress from international borders to include travel corridors in States bordering Mexico and</w:t>
      </w:r>
      <w:r>
        <w:t xml:space="preserve"> Canada, as well as States </w:t>
      </w:r>
      <w:r w:rsidRPr="003638F0">
        <w:t>with international water borders.</w:t>
      </w:r>
    </w:p>
    <w:p w14:paraId="1004C828" w14:textId="77777777" w:rsidR="004B570A" w:rsidRDefault="004B570A" w:rsidP="003E503E">
      <w:r>
        <w:t>See IV, “Other Information,” for information concerning these and previous HSGP programs.</w:t>
      </w:r>
    </w:p>
    <w:p w14:paraId="227F5969" w14:textId="77777777" w:rsidR="004B570A" w:rsidRPr="003638F0" w:rsidRDefault="004B570A" w:rsidP="004B570A">
      <w:pPr>
        <w:autoSpaceDE w:val="0"/>
        <w:autoSpaceDN w:val="0"/>
        <w:adjustRightInd w:val="0"/>
      </w:pPr>
      <w:r>
        <w:t xml:space="preserve">States, which include all of the 50 States of the United States, the District of Columbia, the Commonwealth of Puerto Rico, the Virgin Islands, Guam, American Samoa, and the Commonwealth of the Northern Mariana Islands, </w:t>
      </w:r>
      <w:r w:rsidRPr="003638F0">
        <w:t xml:space="preserve">are eligible to apply for SHSP funds.  </w:t>
      </w:r>
      <w:r>
        <w:t>For those States that are eligible for UASI and OPSG funding, the</w:t>
      </w:r>
      <w:r w:rsidRPr="003638F0">
        <w:t xml:space="preserve"> </w:t>
      </w:r>
      <w:r>
        <w:t>State Administrative Agency (</w:t>
      </w:r>
      <w:r w:rsidRPr="003638F0">
        <w:t>SAA</w:t>
      </w:r>
      <w:r>
        <w:t>)</w:t>
      </w:r>
      <w:r w:rsidRPr="003638F0">
        <w:t xml:space="preserve"> is the only entity eligible to submit applications to </w:t>
      </w:r>
      <w:r>
        <w:t>DHS/</w:t>
      </w:r>
      <w:r w:rsidRPr="003638F0">
        <w:t xml:space="preserve">FEMA on behalf of UASI and OPSG applicants.  </w:t>
      </w:r>
    </w:p>
    <w:p w14:paraId="30906352" w14:textId="77777777" w:rsidR="004B570A" w:rsidRDefault="004B570A" w:rsidP="004B570A">
      <w:pPr>
        <w:autoSpaceDE w:val="0"/>
        <w:autoSpaceDN w:val="0"/>
        <w:adjustRightInd w:val="0"/>
      </w:pPr>
      <w:r w:rsidRPr="003638F0">
        <w:t>Eligible sub</w:t>
      </w:r>
      <w:r>
        <w:t>recipients</w:t>
      </w:r>
      <w:r w:rsidRPr="003638F0">
        <w:t xml:space="preserve"> under OPSG are local units of government at the county </w:t>
      </w:r>
      <w:r>
        <w:t>level and federally recognized tribal</w:t>
      </w:r>
      <w:r w:rsidRPr="003638F0">
        <w:t xml:space="preserve"> governments in the States bordering Canada, States bo</w:t>
      </w:r>
      <w:r>
        <w:t xml:space="preserve">rdering Mexico, and States </w:t>
      </w:r>
      <w:r w:rsidRPr="003638F0">
        <w:t xml:space="preserve">with international water borders.  All applicants must have active ongoing </w:t>
      </w:r>
      <w:r>
        <w:t>U. S. Customs and Border Protection (</w:t>
      </w:r>
      <w:r w:rsidRPr="003638F0">
        <w:t>CBP</w:t>
      </w:r>
      <w:r>
        <w:t>)</w:t>
      </w:r>
      <w:r w:rsidRPr="003638F0">
        <w:t xml:space="preserve"> operations coordinated through a </w:t>
      </w:r>
      <w:r>
        <w:t xml:space="preserve">CBP </w:t>
      </w:r>
      <w:r w:rsidRPr="003638F0">
        <w:t xml:space="preserve">sector office. </w:t>
      </w:r>
      <w:r>
        <w:t xml:space="preserve"> Eligible States </w:t>
      </w:r>
      <w:r w:rsidRPr="003638F0">
        <w:t>with a county or similar level of government structure are authorized to accept applications on behalf of the unit</w:t>
      </w:r>
      <w:r>
        <w:t>s</w:t>
      </w:r>
      <w:r w:rsidRPr="003638F0">
        <w:t xml:space="preserve"> of local government</w:t>
      </w:r>
      <w:r w:rsidRPr="003B1421">
        <w:t xml:space="preserve"> </w:t>
      </w:r>
      <w:r>
        <w:t>and federally recognized tribal governments</w:t>
      </w:r>
      <w:r w:rsidRPr="003638F0">
        <w:t xml:space="preserve">.  </w:t>
      </w:r>
    </w:p>
    <w:p w14:paraId="43BCDD61" w14:textId="77777777" w:rsidR="004B570A" w:rsidRDefault="004B570A" w:rsidP="004B570A">
      <w:r w:rsidRPr="003638F0">
        <w:t xml:space="preserve">Eligible </w:t>
      </w:r>
      <w:r>
        <w:t>subrecipients</w:t>
      </w:r>
      <w:r w:rsidRPr="003638F0">
        <w:t xml:space="preserve"> for the UASI </w:t>
      </w:r>
      <w:r>
        <w:t>P</w:t>
      </w:r>
      <w:r w:rsidRPr="003638F0">
        <w:t xml:space="preserve">rogram </w:t>
      </w:r>
      <w:r>
        <w:t xml:space="preserve">are </w:t>
      </w:r>
      <w:r w:rsidRPr="003638F0">
        <w:t>determined through an analysis of relative risk of terrorism faced by the 100 most populous metropolitan statistical areas (MSAs) in the United States</w:t>
      </w:r>
      <w:r>
        <w:t>.  Subawards will be made by the SAA to the designated Urban Areas.</w:t>
      </w:r>
    </w:p>
    <w:p w14:paraId="05C87136" w14:textId="77777777" w:rsidR="004B570A" w:rsidRDefault="004B570A" w:rsidP="004B570A">
      <w:pPr>
        <w:outlineLvl w:val="0"/>
      </w:pPr>
      <w:r w:rsidRPr="004368D9">
        <w:rPr>
          <w:b/>
        </w:rPr>
        <w:t>Source of Governing Requirements</w:t>
      </w:r>
    </w:p>
    <w:p w14:paraId="75ABC62F" w14:textId="77777777" w:rsidR="004B570A" w:rsidRPr="002612D1" w:rsidRDefault="004B570A" w:rsidP="004B570A">
      <w:r>
        <w:t xml:space="preserve">These programs are authorized under Title III of the Consolidated Security, Disaster Assistance, and Continuing Appropriations Act of 2009 (Pub. L. No. 110-329, Division D); the FY 2010 Department of Homeland Security Appropriations Act (Pub. L. No. 111-83); the FY 2011 Department of Defense and Full-Year Continuing Appropriations Act (Pub. L. No. 112-10); and the Consolidated Appropriations Act, 2012, Division D (Pub. L. No. 112-74); </w:t>
      </w:r>
      <w:r w:rsidRPr="002612D1">
        <w:t xml:space="preserve">the </w:t>
      </w:r>
      <w:r>
        <w:t xml:space="preserve">Consolidated and Further Continuing </w:t>
      </w:r>
      <w:r w:rsidRPr="002612D1">
        <w:t>Appropriations Act, 2013 (Pub</w:t>
      </w:r>
      <w:r>
        <w:t>. L. No.</w:t>
      </w:r>
      <w:r w:rsidRPr="002612D1">
        <w:t xml:space="preserve"> 113-6)</w:t>
      </w:r>
      <w:r>
        <w:t>; t</w:t>
      </w:r>
      <w:r w:rsidRPr="00717D49">
        <w:t xml:space="preserve">he </w:t>
      </w:r>
      <w:r>
        <w:t xml:space="preserve">Consolidated </w:t>
      </w:r>
      <w:r w:rsidRPr="00717D49">
        <w:t>Appropriations Act, 2014</w:t>
      </w:r>
      <w:r w:rsidRPr="004E47F4">
        <w:t xml:space="preserve"> </w:t>
      </w:r>
      <w:r w:rsidRPr="00120835">
        <w:t>(Pub</w:t>
      </w:r>
      <w:r>
        <w:t xml:space="preserve">. L. No. </w:t>
      </w:r>
      <w:r w:rsidRPr="00120835">
        <w:t>113-76)</w:t>
      </w:r>
      <w:r>
        <w:t xml:space="preserve">; </w:t>
      </w:r>
      <w:r w:rsidRPr="008D049C">
        <w:t>and the Department of Homeland Security Appropriations Act, 2015</w:t>
      </w:r>
      <w:r>
        <w:t xml:space="preserve"> (Pub. L. No. 114-4)</w:t>
      </w:r>
      <w:r w:rsidRPr="002612D1">
        <w:t>.</w:t>
      </w:r>
      <w:r>
        <w:t xml:space="preserve">  There are no program regulations.  The applicable program guidance is incorporated by reference into awards and becomes part of the terms and conditions of award.</w:t>
      </w:r>
    </w:p>
    <w:p w14:paraId="567613EC" w14:textId="77777777" w:rsidR="004B570A" w:rsidRPr="00FD1A32" w:rsidRDefault="004B570A" w:rsidP="004B570A">
      <w:pPr>
        <w:outlineLvl w:val="0"/>
      </w:pPr>
      <w:r w:rsidRPr="00FD1A32">
        <w:rPr>
          <w:b/>
        </w:rPr>
        <w:t>Availability of Other Program Information</w:t>
      </w:r>
    </w:p>
    <w:p w14:paraId="0AE7337B" w14:textId="77777777" w:rsidR="004B570A" w:rsidRPr="004E3A31" w:rsidRDefault="004B570A" w:rsidP="004B570A">
      <w:r w:rsidRPr="00FD1A32">
        <w:t xml:space="preserve">Additional information is available at </w:t>
      </w:r>
      <w:hyperlink r:id="rId15" w:history="1">
        <w:r w:rsidRPr="006F3654">
          <w:rPr>
            <w:rStyle w:val="Hyperlink"/>
          </w:rPr>
          <w:t>http://www.fema.gov/preparedness-non-disaster-grants</w:t>
        </w:r>
      </w:hyperlink>
      <w:r>
        <w:t>.</w:t>
      </w:r>
    </w:p>
    <w:p w14:paraId="62AEBAFE" w14:textId="77777777" w:rsidR="004B570A" w:rsidRPr="00FD1A32" w:rsidRDefault="004B570A" w:rsidP="004B570A">
      <w:pPr>
        <w:keepNext/>
        <w:keepLines/>
        <w:rPr>
          <w:b/>
        </w:rPr>
      </w:pPr>
      <w:r w:rsidRPr="00FD1A32">
        <w:rPr>
          <w:b/>
        </w:rPr>
        <w:lastRenderedPageBreak/>
        <w:t>III.</w:t>
      </w:r>
      <w:r w:rsidRPr="00FD1A32">
        <w:rPr>
          <w:b/>
        </w:rPr>
        <w:tab/>
        <w:t>COMPLIANCE REQUIREMENTS</w:t>
      </w:r>
    </w:p>
    <w:p w14:paraId="29B060BA" w14:textId="1078F6FB" w:rsidR="00D7252E" w:rsidRDefault="00D7252E" w:rsidP="00D7252E">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 xml:space="preserve">likely to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D7252E" w:rsidRPr="007C36CD" w14:paraId="12B06CA0" w14:textId="77777777" w:rsidTr="00BE236C">
        <w:tc>
          <w:tcPr>
            <w:tcW w:w="900" w:type="dxa"/>
            <w:hideMark/>
          </w:tcPr>
          <w:p w14:paraId="6E7B87E0"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A.</w:t>
            </w:r>
          </w:p>
          <w:p w14:paraId="14188115"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Activities Allowed or Unallowed</w:t>
            </w:r>
          </w:p>
        </w:tc>
        <w:tc>
          <w:tcPr>
            <w:tcW w:w="810" w:type="dxa"/>
            <w:hideMark/>
          </w:tcPr>
          <w:p w14:paraId="0B1CBAE7"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B.</w:t>
            </w:r>
          </w:p>
          <w:p w14:paraId="683AF334"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14:paraId="3890F014"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C.</w:t>
            </w:r>
          </w:p>
          <w:p w14:paraId="2B56EF1B"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14:paraId="411FAF5B"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E.</w:t>
            </w:r>
          </w:p>
          <w:p w14:paraId="77971A03"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14:paraId="7ACDCAC4"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F.</w:t>
            </w:r>
          </w:p>
          <w:p w14:paraId="43E8ADC6"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14:paraId="505F6669"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G.</w:t>
            </w:r>
          </w:p>
          <w:p w14:paraId="76E8B00B"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14:paraId="57B69765"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H.</w:t>
            </w:r>
          </w:p>
          <w:p w14:paraId="12DAF235"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14:paraId="748AA009"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I.</w:t>
            </w:r>
          </w:p>
          <w:p w14:paraId="052A6FBC"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14:paraId="480D3984"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J.</w:t>
            </w:r>
          </w:p>
          <w:p w14:paraId="3E645BF6"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14:paraId="2B28D27F"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L.</w:t>
            </w:r>
          </w:p>
          <w:p w14:paraId="58201BB7"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14:paraId="62D4238E"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M.</w:t>
            </w:r>
          </w:p>
          <w:p w14:paraId="7F64E3E3"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Subrecipient Monitoring</w:t>
            </w:r>
          </w:p>
        </w:tc>
        <w:tc>
          <w:tcPr>
            <w:tcW w:w="900" w:type="dxa"/>
            <w:hideMark/>
          </w:tcPr>
          <w:p w14:paraId="5C876B7B" w14:textId="77777777" w:rsidR="00D7252E" w:rsidRPr="007C36CD" w:rsidRDefault="00D7252E" w:rsidP="00374F6C">
            <w:pPr>
              <w:spacing w:before="40" w:after="160"/>
              <w:jc w:val="center"/>
              <w:rPr>
                <w:rFonts w:eastAsia="Calibri"/>
                <w:b/>
                <w:bCs/>
                <w:i/>
                <w:iCs/>
                <w:sz w:val="16"/>
                <w:szCs w:val="16"/>
              </w:rPr>
            </w:pPr>
            <w:r w:rsidRPr="007C36CD">
              <w:rPr>
                <w:rFonts w:eastAsia="Calibri"/>
                <w:b/>
                <w:bCs/>
                <w:i/>
                <w:iCs/>
                <w:sz w:val="16"/>
                <w:szCs w:val="16"/>
              </w:rPr>
              <w:t>N.</w:t>
            </w:r>
          </w:p>
          <w:p w14:paraId="52333CCD" w14:textId="77777777" w:rsidR="00D7252E" w:rsidRPr="007C36CD" w:rsidRDefault="00D7252E" w:rsidP="00374F6C">
            <w:pPr>
              <w:spacing w:before="40" w:after="160"/>
              <w:jc w:val="center"/>
              <w:rPr>
                <w:rFonts w:eastAsia="Calibri"/>
                <w:b/>
                <w:bCs/>
                <w:sz w:val="13"/>
                <w:szCs w:val="13"/>
              </w:rPr>
            </w:pPr>
            <w:r w:rsidRPr="007C36CD">
              <w:rPr>
                <w:rFonts w:eastAsia="Calibri"/>
                <w:b/>
                <w:bCs/>
                <w:i/>
                <w:iCs/>
                <w:sz w:val="13"/>
                <w:szCs w:val="13"/>
              </w:rPr>
              <w:t>Special Tests and Provisions</w:t>
            </w:r>
          </w:p>
        </w:tc>
      </w:tr>
      <w:tr w:rsidR="00D7252E" w:rsidRPr="007C36CD" w14:paraId="12BFA3B2" w14:textId="77777777" w:rsidTr="00BE236C">
        <w:tc>
          <w:tcPr>
            <w:tcW w:w="900" w:type="dxa"/>
          </w:tcPr>
          <w:p w14:paraId="1543FC09" w14:textId="6113A840"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810" w:type="dxa"/>
          </w:tcPr>
          <w:p w14:paraId="6C28AACD" w14:textId="4A2A94F6"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6F2D69E3" w14:textId="5EA188EB"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810" w:type="dxa"/>
          </w:tcPr>
          <w:p w14:paraId="3C442D90" w14:textId="5CC2082E" w:rsidR="00D7252E" w:rsidRPr="00C71937" w:rsidRDefault="00C71937" w:rsidP="00374F6C">
            <w:pPr>
              <w:spacing w:before="40" w:after="160"/>
              <w:jc w:val="center"/>
              <w:rPr>
                <w:rFonts w:eastAsia="Calibri"/>
                <w:bCs/>
                <w:iCs/>
                <w:sz w:val="20"/>
                <w:szCs w:val="20"/>
              </w:rPr>
            </w:pPr>
            <w:r>
              <w:rPr>
                <w:rFonts w:eastAsia="Calibri"/>
                <w:bCs/>
                <w:iCs/>
                <w:sz w:val="20"/>
                <w:szCs w:val="20"/>
              </w:rPr>
              <w:t>N</w:t>
            </w:r>
          </w:p>
        </w:tc>
        <w:tc>
          <w:tcPr>
            <w:tcW w:w="990" w:type="dxa"/>
          </w:tcPr>
          <w:p w14:paraId="1E94D025" w14:textId="760E7A42"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900" w:type="dxa"/>
          </w:tcPr>
          <w:p w14:paraId="4E01E552" w14:textId="24751C7B"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39C75860" w14:textId="3BD260BE"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2F962FB2" w14:textId="1AC0A6C7" w:rsidR="00D7252E" w:rsidRPr="00C71937" w:rsidRDefault="00C71937" w:rsidP="00374F6C">
            <w:pPr>
              <w:spacing w:before="40" w:after="160"/>
              <w:jc w:val="center"/>
              <w:rPr>
                <w:rFonts w:eastAsia="Calibri"/>
                <w:bCs/>
                <w:iCs/>
                <w:sz w:val="20"/>
                <w:szCs w:val="20"/>
              </w:rPr>
            </w:pPr>
            <w:r>
              <w:rPr>
                <w:rFonts w:eastAsia="Calibri"/>
                <w:bCs/>
                <w:iCs/>
                <w:sz w:val="20"/>
                <w:szCs w:val="20"/>
              </w:rPr>
              <w:t>N</w:t>
            </w:r>
          </w:p>
        </w:tc>
        <w:tc>
          <w:tcPr>
            <w:tcW w:w="720" w:type="dxa"/>
          </w:tcPr>
          <w:p w14:paraId="2FB08AD2" w14:textId="6BCAE081" w:rsidR="00D7252E" w:rsidRPr="00C71937" w:rsidRDefault="00C71937" w:rsidP="00374F6C">
            <w:pPr>
              <w:spacing w:before="40" w:after="160"/>
              <w:jc w:val="center"/>
              <w:rPr>
                <w:rFonts w:eastAsia="Calibri"/>
                <w:bCs/>
                <w:iCs/>
                <w:sz w:val="20"/>
                <w:szCs w:val="20"/>
              </w:rPr>
            </w:pPr>
            <w:r>
              <w:rPr>
                <w:rFonts w:eastAsia="Calibri"/>
                <w:bCs/>
                <w:iCs/>
                <w:sz w:val="20"/>
                <w:szCs w:val="20"/>
              </w:rPr>
              <w:t>N</w:t>
            </w:r>
          </w:p>
        </w:tc>
        <w:tc>
          <w:tcPr>
            <w:tcW w:w="810" w:type="dxa"/>
          </w:tcPr>
          <w:p w14:paraId="22CA54E3" w14:textId="10D62C7F"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990" w:type="dxa"/>
          </w:tcPr>
          <w:p w14:paraId="47273D97" w14:textId="0375C4F4"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c>
          <w:tcPr>
            <w:tcW w:w="900" w:type="dxa"/>
          </w:tcPr>
          <w:p w14:paraId="47729B61" w14:textId="58117CB0" w:rsidR="00D7252E" w:rsidRPr="00C71937" w:rsidRDefault="00C71937" w:rsidP="00374F6C">
            <w:pPr>
              <w:spacing w:before="40" w:after="160"/>
              <w:jc w:val="center"/>
              <w:rPr>
                <w:rFonts w:eastAsia="Calibri"/>
                <w:bCs/>
                <w:iCs/>
                <w:sz w:val="20"/>
                <w:szCs w:val="20"/>
              </w:rPr>
            </w:pPr>
            <w:r>
              <w:rPr>
                <w:rFonts w:eastAsia="Calibri"/>
                <w:bCs/>
                <w:iCs/>
                <w:sz w:val="20"/>
                <w:szCs w:val="20"/>
              </w:rPr>
              <w:t>Y</w:t>
            </w:r>
          </w:p>
        </w:tc>
      </w:tr>
    </w:tbl>
    <w:p w14:paraId="64487CC9" w14:textId="28FA698F" w:rsidR="004B570A" w:rsidRPr="00FD1A32" w:rsidRDefault="004B570A" w:rsidP="00374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center"/>
        <w:rPr>
          <w:b/>
          <w:bCs/>
        </w:rPr>
      </w:pPr>
    </w:p>
    <w:p w14:paraId="4BE8150B" w14:textId="77777777" w:rsidR="004B570A" w:rsidRDefault="004B570A" w:rsidP="00374F6C">
      <w:pPr>
        <w:spacing w:after="0"/>
        <w:rPr>
          <w:b/>
        </w:rPr>
      </w:pPr>
      <w:r w:rsidRPr="00E55675">
        <w:rPr>
          <w:b/>
        </w:rPr>
        <w:t xml:space="preserve">A. </w:t>
      </w:r>
      <w:r w:rsidRPr="00E55675">
        <w:rPr>
          <w:b/>
        </w:rPr>
        <w:tab/>
        <w:t>Activities Allowed or Unallowed</w:t>
      </w:r>
    </w:p>
    <w:p w14:paraId="35ABCFF4" w14:textId="77777777" w:rsidR="00C71937" w:rsidRPr="00E55675" w:rsidRDefault="00C71937" w:rsidP="00C71937">
      <w:pPr>
        <w:spacing w:after="0"/>
      </w:pPr>
    </w:p>
    <w:p w14:paraId="217C21A9" w14:textId="77777777" w:rsidR="004B570A" w:rsidRPr="00E55675" w:rsidRDefault="004B570A" w:rsidP="009E2214">
      <w:pPr>
        <w:ind w:left="1440" w:hanging="720"/>
      </w:pPr>
      <w:r w:rsidRPr="00E55675">
        <w:t>1.</w:t>
      </w:r>
      <w:r w:rsidRPr="00E55675">
        <w:tab/>
      </w:r>
      <w:r w:rsidRPr="00E55675">
        <w:rPr>
          <w:i/>
        </w:rPr>
        <w:t>Activities Allowed</w:t>
      </w:r>
      <w:r>
        <w:rPr>
          <w:i/>
        </w:rPr>
        <w:t xml:space="preserve"> – </w:t>
      </w:r>
      <w:r w:rsidRPr="00E55675">
        <w:rPr>
          <w:i/>
        </w:rPr>
        <w:t>General</w:t>
      </w:r>
    </w:p>
    <w:p w14:paraId="322421FE" w14:textId="77777777" w:rsidR="004B570A" w:rsidRPr="00E55675" w:rsidRDefault="004B570A" w:rsidP="009E2214">
      <w:pPr>
        <w:ind w:left="2160" w:hanging="720"/>
      </w:pPr>
      <w:r w:rsidRPr="00E55675">
        <w:t>a.</w:t>
      </w:r>
      <w:r w:rsidRPr="00E55675">
        <w:tab/>
        <w:t>Funds may be used to enhance the capability of State and local jurisdictions to prepare for and respond to terrorist acts including events of terrorism involving weapons of mass destruction and biological, nuclear, radiological, incendiary, chemical, and explosive devices.  Allowable activities include purchase of needed equipment and provision of training and technical assistance to State and local first responders (42 USC 3714(b)).</w:t>
      </w:r>
      <w:r>
        <w:t xml:space="preserve">  Funds may be used under the following categories:  planning, organization, equipment, training and exercises.</w:t>
      </w:r>
    </w:p>
    <w:p w14:paraId="2F38DFB2" w14:textId="57FACD8B" w:rsidR="004B570A" w:rsidRDefault="004B570A" w:rsidP="00FC5249">
      <w:pPr>
        <w:numPr>
          <w:ilvl w:val="0"/>
          <w:numId w:val="26"/>
        </w:numPr>
        <w:tabs>
          <w:tab w:val="clear" w:pos="2520"/>
          <w:tab w:val="num" w:pos="2160"/>
        </w:tabs>
        <w:ind w:left="2160" w:hanging="720"/>
      </w:pPr>
      <w:r w:rsidRPr="00E55675">
        <w:t>Funds may be used for management and administration (</w:t>
      </w:r>
      <w:r>
        <w:rPr>
          <w:rFonts w:cs="Arial"/>
        </w:rPr>
        <w:t>Consolidated Appropriations Act, 2012 (Pub. L. No. 112-74, 125 Stat. 961;</w:t>
      </w:r>
      <w:r w:rsidRPr="004959B9">
        <w:rPr>
          <w:rFonts w:cs="Arial"/>
        </w:rPr>
        <w:t xml:space="preserve"> </w:t>
      </w:r>
      <w:r>
        <w:rPr>
          <w:rFonts w:cs="Arial"/>
        </w:rPr>
        <w:t>Consolidated Appropriations Act</w:t>
      </w:r>
      <w:r w:rsidRPr="004959B9">
        <w:rPr>
          <w:rFonts w:cs="Arial"/>
        </w:rPr>
        <w:t>, 2013 (Pub</w:t>
      </w:r>
      <w:r>
        <w:rPr>
          <w:rFonts w:cs="Arial"/>
        </w:rPr>
        <w:t>. L. No.</w:t>
      </w:r>
      <w:r w:rsidRPr="004959B9">
        <w:rPr>
          <w:rFonts w:cs="Arial"/>
        </w:rPr>
        <w:t xml:space="preserve"> 113-6</w:t>
      </w:r>
      <w:r>
        <w:rPr>
          <w:rFonts w:cs="Arial"/>
        </w:rPr>
        <w:t>, 127 Stat. 358;</w:t>
      </w:r>
      <w:r w:rsidRPr="000E387D">
        <w:t xml:space="preserve"> </w:t>
      </w:r>
      <w:r w:rsidRPr="00EC3EF9">
        <w:t>Consolidated Appropriations Act, 2014 (Pub. L. No. 113-76</w:t>
      </w:r>
      <w:r>
        <w:t>, 128 Stat. 262</w:t>
      </w:r>
      <w:r w:rsidRPr="00EC3EF9">
        <w:t>)</w:t>
      </w:r>
      <w:r>
        <w:t xml:space="preserve">; and </w:t>
      </w:r>
      <w:r w:rsidRPr="000E387D">
        <w:rPr>
          <w:rFonts w:cs="Arial"/>
        </w:rPr>
        <w:t>Department of Homeland Security Appropriatio</w:t>
      </w:r>
      <w:r>
        <w:rPr>
          <w:rFonts w:cs="Arial"/>
        </w:rPr>
        <w:t>ns Act, 2015 (Pub. L. No. 114-4, 129 Stat. 54</w:t>
      </w:r>
      <w:r w:rsidRPr="004959B9">
        <w:rPr>
          <w:rFonts w:cs="Arial"/>
        </w:rPr>
        <w:t xml:space="preserve">) </w:t>
      </w:r>
      <w:r w:rsidRPr="00E55675">
        <w:t>(see III.G.3.a</w:t>
      </w:r>
      <w:r w:rsidR="00FC5249">
        <w:t>, “Matching, Level of Effort, Earmarking</w:t>
      </w:r>
      <w:r w:rsidR="00FC5249" w:rsidRPr="00FC5249">
        <w:t xml:space="preserve"> – </w:t>
      </w:r>
      <w:r w:rsidR="00FC5249">
        <w:t>Earmarking,”</w:t>
      </w:r>
      <w:r w:rsidRPr="00E55675">
        <w:t xml:space="preserve"> for a limitation).</w:t>
      </w:r>
    </w:p>
    <w:p w14:paraId="33EA8203" w14:textId="77777777" w:rsidR="004B570A" w:rsidRDefault="004B570A" w:rsidP="0018144A">
      <w:pPr>
        <w:ind w:firstLine="720"/>
        <w:rPr>
          <w:i/>
        </w:rPr>
      </w:pPr>
      <w:r>
        <w:t>2.</w:t>
      </w:r>
      <w:r>
        <w:tab/>
      </w:r>
      <w:r w:rsidRPr="0078061F">
        <w:rPr>
          <w:i/>
        </w:rPr>
        <w:t>Activities Allowed – F</w:t>
      </w:r>
      <w:r>
        <w:rPr>
          <w:i/>
        </w:rPr>
        <w:t>Y</w:t>
      </w:r>
      <w:r w:rsidRPr="0078061F">
        <w:rPr>
          <w:i/>
        </w:rPr>
        <w:t>s 20</w:t>
      </w:r>
      <w:r>
        <w:rPr>
          <w:i/>
        </w:rPr>
        <w:t xml:space="preserve">09 </w:t>
      </w:r>
      <w:r w:rsidRPr="0078061F">
        <w:rPr>
          <w:i/>
        </w:rPr>
        <w:t>-</w:t>
      </w:r>
      <w:r>
        <w:rPr>
          <w:i/>
        </w:rPr>
        <w:t xml:space="preserve"> </w:t>
      </w:r>
      <w:r w:rsidRPr="0078061F">
        <w:rPr>
          <w:i/>
        </w:rPr>
        <w:t>201</w:t>
      </w:r>
      <w:r>
        <w:rPr>
          <w:i/>
        </w:rPr>
        <w:t xml:space="preserve">5 </w:t>
      </w:r>
    </w:p>
    <w:p w14:paraId="468A7878" w14:textId="77777777" w:rsidR="004B570A" w:rsidRDefault="004B570A" w:rsidP="0018144A">
      <w:pPr>
        <w:ind w:left="2160" w:hanging="720"/>
      </w:pPr>
      <w:r>
        <w:t>a.</w:t>
      </w:r>
      <w:r>
        <w:tab/>
        <w:t xml:space="preserve">As directed by the Personnel Reimbursement for Intelligence Corporation and Enhancement (PRICE) of Homeland Security Act (Pub. L. No. 110-412), all personnel and personnel-related costs, including those of intelligence analysts and operational overtime, are allowed up to 50 percent of HSGP funding without time limitation placed on the period of time that such personnel can serve.  </w:t>
      </w:r>
    </w:p>
    <w:p w14:paraId="493C6318" w14:textId="77777777" w:rsidR="004B570A" w:rsidRDefault="004B570A" w:rsidP="00AB7D57">
      <w:pPr>
        <w:ind w:left="2160" w:hanging="720"/>
      </w:pPr>
      <w:r>
        <w:lastRenderedPageBreak/>
        <w:t>b.</w:t>
      </w:r>
      <w:r>
        <w:tab/>
        <w:t xml:space="preserve">Critical emergency supplies are an allowable expense under the SHSP and the UASI Program only in furtherance of DHS’ mission (applicable Funding Opportunity Announcement). </w:t>
      </w:r>
    </w:p>
    <w:p w14:paraId="2CB25ED8" w14:textId="77777777" w:rsidR="004B570A" w:rsidRDefault="004B570A" w:rsidP="009429B2">
      <w:pPr>
        <w:ind w:left="2160" w:hanging="720"/>
      </w:pPr>
      <w:r>
        <w:t>c.</w:t>
      </w:r>
      <w:r>
        <w:tab/>
      </w:r>
      <w:r w:rsidRPr="004959B9">
        <w:t>SHSP funds may be used to support the implementation activities associated with the Western Hemisphere Travel Initiative (WHTI), including the issuance of WHTI-compliant tribal identification cards</w:t>
      </w:r>
      <w:r>
        <w:t xml:space="preserve"> and </w:t>
      </w:r>
      <w:r w:rsidRPr="004959B9">
        <w:t>driver’s license and identification security enhancements</w:t>
      </w:r>
      <w:r>
        <w:t xml:space="preserve"> (applicable Funding Opportunity Announcement)</w:t>
      </w:r>
      <w:r w:rsidRPr="004959B9">
        <w:t>.</w:t>
      </w:r>
    </w:p>
    <w:p w14:paraId="51ED571D" w14:textId="77777777" w:rsidR="004B570A" w:rsidRDefault="004B570A" w:rsidP="00AB7D57">
      <w:pPr>
        <w:ind w:left="2160" w:hanging="720"/>
      </w:pPr>
      <w:r>
        <w:t>d.</w:t>
      </w:r>
      <w:r>
        <w:tab/>
      </w:r>
      <w:r w:rsidRPr="005B78B8">
        <w:t>OPSG funds may be used for operational overtime costs associated with law enforcement activities, in support of border law enforcement agencies for increased border security enhancemen</w:t>
      </w:r>
      <w:r>
        <w:t>t.</w:t>
      </w:r>
    </w:p>
    <w:p w14:paraId="1933DACA" w14:textId="77777777" w:rsidR="004B570A" w:rsidRPr="000028F5" w:rsidRDefault="004B570A" w:rsidP="009E2214">
      <w:pPr>
        <w:ind w:left="720"/>
      </w:pPr>
      <w:r>
        <w:t>3</w:t>
      </w:r>
      <w:r w:rsidRPr="000028F5">
        <w:t>.</w:t>
      </w:r>
      <w:r w:rsidRPr="000028F5">
        <w:tab/>
      </w:r>
      <w:r w:rsidRPr="000028F5">
        <w:rPr>
          <w:i/>
        </w:rPr>
        <w:t xml:space="preserve">Activities Unallowed – </w:t>
      </w:r>
      <w:r w:rsidRPr="00067404">
        <w:rPr>
          <w:i/>
        </w:rPr>
        <w:t>FYs 2009 – 20</w:t>
      </w:r>
      <w:r>
        <w:rPr>
          <w:i/>
        </w:rPr>
        <w:t>15</w:t>
      </w:r>
    </w:p>
    <w:p w14:paraId="755D3665" w14:textId="77777777" w:rsidR="004B570A" w:rsidRDefault="004B570A" w:rsidP="004A0FF7">
      <w:pPr>
        <w:ind w:left="2160" w:hanging="720"/>
      </w:pPr>
      <w:r>
        <w:t>a.</w:t>
      </w:r>
      <w:r>
        <w:tab/>
        <w:t>Funds awarded for law enforcement terrorism prevention activities under SHSP and UASI can</w:t>
      </w:r>
      <w:r w:rsidRPr="000028F5">
        <w:t xml:space="preserve">not be used for construction of facilities, except for a minor perimeter security project, not to exceed </w:t>
      </w:r>
      <w:r>
        <w:t xml:space="preserve">the greater of </w:t>
      </w:r>
      <w:r w:rsidRPr="000028F5">
        <w:t>$1,000,000</w:t>
      </w:r>
      <w:r>
        <w:t xml:space="preserve"> or 15 percent of the grant award</w:t>
      </w:r>
      <w:r w:rsidRPr="000028F5">
        <w:t>,</w:t>
      </w:r>
      <w:r>
        <w:t xml:space="preserve"> </w:t>
      </w:r>
      <w:r w:rsidRPr="000028F5">
        <w:t xml:space="preserve">as determined necessary by the Secretary of Homeland Security.  The erection of communication towers, which are included in a jurisdiction’s interoperable communications plan, does not constitute construction </w:t>
      </w:r>
      <w:r>
        <w:t>(Pub. L. No. 110-53; Pub. L. No. 110-161; Pub. L. No. 110-329, Division D;</w:t>
      </w:r>
      <w:r w:rsidRPr="0007594E">
        <w:rPr>
          <w:rFonts w:cs="Arial"/>
        </w:rPr>
        <w:t xml:space="preserve"> </w:t>
      </w:r>
      <w:r w:rsidRPr="004959B9">
        <w:rPr>
          <w:rFonts w:cs="Arial"/>
        </w:rPr>
        <w:t>Pub. L. No. 111-83</w:t>
      </w:r>
      <w:r>
        <w:rPr>
          <w:rFonts w:cs="Arial"/>
        </w:rPr>
        <w:t>, 123 Stat. 2161; Consolidated Appropriations Act, 2012 (Pub. L. No. 112-74, 125 Stat. 961);</w:t>
      </w:r>
      <w:r w:rsidRPr="004959B9">
        <w:rPr>
          <w:rFonts w:cs="Arial"/>
        </w:rPr>
        <w:t xml:space="preserve"> </w:t>
      </w:r>
      <w:r>
        <w:rPr>
          <w:rFonts w:cs="Arial"/>
        </w:rPr>
        <w:t>Consolidated Appropriations Act</w:t>
      </w:r>
      <w:r w:rsidRPr="004959B9">
        <w:rPr>
          <w:rFonts w:cs="Arial"/>
        </w:rPr>
        <w:t>, 2013 (Pub</w:t>
      </w:r>
      <w:r>
        <w:rPr>
          <w:rFonts w:cs="Arial"/>
        </w:rPr>
        <w:t>. L. No.</w:t>
      </w:r>
      <w:r w:rsidRPr="004959B9">
        <w:rPr>
          <w:rFonts w:cs="Arial"/>
        </w:rPr>
        <w:t xml:space="preserve"> 113-6</w:t>
      </w:r>
      <w:r>
        <w:rPr>
          <w:rFonts w:cs="Arial"/>
        </w:rPr>
        <w:t xml:space="preserve">, 127 Stat. 358); </w:t>
      </w:r>
      <w:r w:rsidRPr="005B78B8">
        <w:rPr>
          <w:rFonts w:cs="Arial"/>
        </w:rPr>
        <w:t>Department of Homeland Security Appropriations Act, 2014 (Pub. L. No. 113-76</w:t>
      </w:r>
      <w:r>
        <w:rPr>
          <w:rFonts w:cs="Arial"/>
        </w:rPr>
        <w:t>, 128 Stat 262</w:t>
      </w:r>
      <w:r w:rsidRPr="005B78B8">
        <w:rPr>
          <w:rFonts w:cs="Arial"/>
        </w:rPr>
        <w:t>)</w:t>
      </w:r>
      <w:r>
        <w:rPr>
          <w:rFonts w:cs="Arial"/>
        </w:rPr>
        <w:t xml:space="preserve">; </w:t>
      </w:r>
      <w:r w:rsidRPr="00EC3EF9">
        <w:rPr>
          <w:rFonts w:cs="Arial"/>
        </w:rPr>
        <w:t>Consolidated Appropriations Act, 2014 (Pub. L. No. 113-76</w:t>
      </w:r>
      <w:r>
        <w:rPr>
          <w:rFonts w:cs="Arial"/>
        </w:rPr>
        <w:t xml:space="preserve">, 128 Stat.262; and </w:t>
      </w:r>
      <w:r w:rsidRPr="00B24DF0">
        <w:t xml:space="preserve">the Department of Homeland Security Appropriations Act, 2015 </w:t>
      </w:r>
      <w:r>
        <w:t>(Pub. L. No. 114-4, 129 Stat. 54)</w:t>
      </w:r>
      <w:r>
        <w:rPr>
          <w:rFonts w:cs="Arial"/>
        </w:rPr>
        <w:t>.</w:t>
      </w:r>
      <w:r>
        <w:t xml:space="preserve">  </w:t>
      </w:r>
    </w:p>
    <w:p w14:paraId="13FCB7AE" w14:textId="77777777" w:rsidR="004B570A" w:rsidRDefault="004B570A" w:rsidP="0030636A">
      <w:pPr>
        <w:ind w:left="2160"/>
      </w:pPr>
      <w:r w:rsidRPr="004E5AFD">
        <w:t xml:space="preserve">Subject to all applicable laws, regulations, and licensing provisions, projects for the installation of communication towers are typically eligible under the program.  </w:t>
      </w:r>
      <w:r>
        <w:t>S</w:t>
      </w:r>
      <w:r w:rsidRPr="004E5AFD">
        <w:t>uch projects are not considered construction, and, therefore, are, not subject to the otherwise applicable funding limits on construction activities.</w:t>
      </w:r>
    </w:p>
    <w:p w14:paraId="611F52C5" w14:textId="77777777" w:rsidR="004B570A" w:rsidRDefault="004B570A" w:rsidP="00AB7D57">
      <w:pPr>
        <w:ind w:left="2160" w:hanging="720"/>
      </w:pPr>
      <w:r>
        <w:t>b.</w:t>
      </w:r>
      <w:r>
        <w:tab/>
        <w:t xml:space="preserve">HSGP funds may not be used to support the hiring of sworn public safety officers for purposes of fulfilling traditional public safety duties or to supplant traditional public safety positions and responsibilities (6 USC 609(b)(1)(A)).  </w:t>
      </w:r>
    </w:p>
    <w:p w14:paraId="09B73120" w14:textId="77777777" w:rsidR="004B570A" w:rsidRDefault="004B570A" w:rsidP="004B570A">
      <w:pPr>
        <w:ind w:left="2160" w:hanging="720"/>
      </w:pPr>
      <w:r>
        <w:t>c.</w:t>
      </w:r>
      <w:r>
        <w:tab/>
        <w:t>OPSG funds may not be used for s</w:t>
      </w:r>
      <w:r w:rsidRPr="00A76EDE">
        <w:t>taffing</w:t>
      </w:r>
      <w:r>
        <w:t xml:space="preserve"> (other than overtime)</w:t>
      </w:r>
      <w:r w:rsidRPr="00A76EDE">
        <w:t xml:space="preserve"> and general </w:t>
      </w:r>
      <w:r>
        <w:t xml:space="preserve">information technology </w:t>
      </w:r>
      <w:r w:rsidRPr="00A76EDE">
        <w:t xml:space="preserve">computing equipment and hardware, such as personal computers, faxes, copy machines, </w:t>
      </w:r>
      <w:r>
        <w:t xml:space="preserve">and </w:t>
      </w:r>
      <w:r w:rsidRPr="00A76EDE">
        <w:t>modems</w:t>
      </w:r>
      <w:r>
        <w:t xml:space="preserve"> (FY 2009-FY 2015 Funding Opportunity Announcements).</w:t>
      </w:r>
    </w:p>
    <w:p w14:paraId="7B227244" w14:textId="77777777" w:rsidR="004B570A" w:rsidRPr="00545787" w:rsidRDefault="004B570A" w:rsidP="00AB7D57">
      <w:pPr>
        <w:keepNext/>
        <w:keepLines/>
        <w:autoSpaceDE w:val="0"/>
        <w:autoSpaceDN w:val="0"/>
        <w:adjustRightInd w:val="0"/>
        <w:rPr>
          <w:b/>
        </w:rPr>
      </w:pPr>
      <w:r w:rsidRPr="00545787">
        <w:rPr>
          <w:b/>
        </w:rPr>
        <w:lastRenderedPageBreak/>
        <w:t>C.</w:t>
      </w:r>
      <w:r w:rsidRPr="00545787">
        <w:rPr>
          <w:b/>
        </w:rPr>
        <w:tab/>
        <w:t>Cash Management</w:t>
      </w:r>
    </w:p>
    <w:p w14:paraId="73868F83" w14:textId="77777777" w:rsidR="004B570A" w:rsidRPr="00C77395" w:rsidRDefault="004B570A" w:rsidP="00906E16">
      <w:pPr>
        <w:ind w:left="720"/>
        <w:rPr>
          <w:rFonts w:cs="Arial"/>
          <w:color w:val="000000"/>
        </w:rPr>
      </w:pPr>
      <w:r>
        <w:t xml:space="preserve">HSGP </w:t>
      </w:r>
      <w:r w:rsidRPr="007C3628">
        <w:t xml:space="preserve">awards </w:t>
      </w:r>
      <w:r>
        <w:t xml:space="preserve">to </w:t>
      </w:r>
      <w:r w:rsidRPr="007C3628">
        <w:t xml:space="preserve">States </w:t>
      </w:r>
      <w:r>
        <w:t xml:space="preserve">are </w:t>
      </w:r>
      <w:r w:rsidRPr="007C3628">
        <w:t>exempt</w:t>
      </w:r>
      <w:r>
        <w:t>ed</w:t>
      </w:r>
      <w:r w:rsidRPr="007C3628">
        <w:t xml:space="preserve"> from the provisions of</w:t>
      </w:r>
      <w:r>
        <w:t xml:space="preserve"> </w:t>
      </w:r>
      <w:r w:rsidRPr="007C3628">
        <w:t>31 USC 6503(a)</w:t>
      </w:r>
      <w:r>
        <w:t xml:space="preserve"> (the Cash Management Improvement Act (CMIA)) </w:t>
      </w:r>
      <w:r w:rsidRPr="007C3628">
        <w:t xml:space="preserve">(Sec. 521, </w:t>
      </w:r>
      <w:r w:rsidRPr="007C3628">
        <w:rPr>
          <w:rFonts w:cs="Arial"/>
        </w:rPr>
        <w:t>Pub. L</w:t>
      </w:r>
      <w:r>
        <w:rPr>
          <w:rFonts w:cs="Arial"/>
        </w:rPr>
        <w:t>.</w:t>
      </w:r>
      <w:r w:rsidRPr="007C3628">
        <w:rPr>
          <w:rFonts w:cs="Arial"/>
        </w:rPr>
        <w:t xml:space="preserve"> </w:t>
      </w:r>
      <w:r>
        <w:rPr>
          <w:rFonts w:cs="Arial"/>
        </w:rPr>
        <w:t xml:space="preserve">No. </w:t>
      </w:r>
      <w:r w:rsidRPr="007C3628">
        <w:rPr>
          <w:rFonts w:cs="Arial"/>
        </w:rPr>
        <w:t>108-334</w:t>
      </w:r>
      <w:r>
        <w:rPr>
          <w:rFonts w:cs="Arial"/>
        </w:rPr>
        <w:t xml:space="preserve">; </w:t>
      </w:r>
      <w:r>
        <w:t>Pub .L. No. 109-241</w:t>
      </w:r>
      <w:r w:rsidRPr="007C3628">
        <w:rPr>
          <w:rFonts w:cs="Arial"/>
        </w:rPr>
        <w:t xml:space="preserve">).  </w:t>
      </w:r>
    </w:p>
    <w:p w14:paraId="0C3C9BB0" w14:textId="093C094F" w:rsidR="004B570A" w:rsidRPr="00C77395" w:rsidRDefault="004B570A" w:rsidP="004B570A">
      <w:pPr>
        <w:ind w:left="720"/>
        <w:rPr>
          <w:rFonts w:cs="Arial"/>
          <w:color w:val="000000"/>
        </w:rPr>
      </w:pPr>
      <w:r>
        <w:rPr>
          <w:rFonts w:cs="Arial"/>
          <w:color w:val="000000"/>
        </w:rPr>
        <w:t>Recipients</w:t>
      </w:r>
      <w:r w:rsidRPr="007C3628">
        <w:rPr>
          <w:rFonts w:cs="Arial"/>
          <w:color w:val="000000"/>
        </w:rPr>
        <w:t xml:space="preserve"> are permitted to draw down funds up to 120 days prior to expenditure/</w:t>
      </w:r>
      <w:r>
        <w:rPr>
          <w:rFonts w:cs="Arial"/>
          <w:color w:val="000000"/>
        </w:rPr>
        <w:br/>
      </w:r>
      <w:r w:rsidRPr="007C3628">
        <w:rPr>
          <w:rFonts w:cs="Arial"/>
          <w:color w:val="000000"/>
        </w:rPr>
        <w:t>disbursement, but must place those funds in an interest-bearing account</w:t>
      </w:r>
      <w:r>
        <w:rPr>
          <w:rFonts w:cs="Arial"/>
          <w:color w:val="000000"/>
        </w:rPr>
        <w:t>, and the interest earned must be submitted to the U.S. Treasury</w:t>
      </w:r>
      <w:r w:rsidRPr="007C3628">
        <w:rPr>
          <w:rFonts w:cs="Arial"/>
          <w:color w:val="000000"/>
        </w:rPr>
        <w:t xml:space="preserve">.  All other </w:t>
      </w:r>
      <w:r>
        <w:rPr>
          <w:rFonts w:cs="Arial"/>
          <w:color w:val="000000"/>
        </w:rPr>
        <w:t xml:space="preserve">cash management </w:t>
      </w:r>
      <w:r w:rsidRPr="007C3628">
        <w:rPr>
          <w:rFonts w:cs="Arial"/>
          <w:color w:val="000000"/>
        </w:rPr>
        <w:t xml:space="preserve">requirements of </w:t>
      </w:r>
      <w:r w:rsidRPr="00B657ED">
        <w:rPr>
          <w:rFonts w:cs="Arial"/>
          <w:color w:val="000000"/>
        </w:rPr>
        <w:t>OMB Circular</w:t>
      </w:r>
      <w:r w:rsidRPr="007C3628">
        <w:rPr>
          <w:rFonts w:cs="Arial"/>
          <w:color w:val="000000"/>
        </w:rPr>
        <w:t xml:space="preserve"> A-102</w:t>
      </w:r>
      <w:r>
        <w:rPr>
          <w:rFonts w:cs="Arial"/>
          <w:color w:val="000000"/>
        </w:rPr>
        <w:t>,</w:t>
      </w:r>
      <w:r w:rsidRPr="007C3628">
        <w:rPr>
          <w:rFonts w:cs="Arial"/>
          <w:color w:val="000000"/>
        </w:rPr>
        <w:t xml:space="preserve"> </w:t>
      </w:r>
      <w:r>
        <w:rPr>
          <w:rFonts w:cs="Arial"/>
          <w:color w:val="000000"/>
        </w:rPr>
        <w:t xml:space="preserve">as implemented by FEMA at 44 CFR sections 13.21 and 13.23, OMB Circular </w:t>
      </w:r>
      <w:r w:rsidRPr="007C3628">
        <w:rPr>
          <w:rFonts w:cs="Arial"/>
          <w:color w:val="000000"/>
        </w:rPr>
        <w:t>A-110</w:t>
      </w:r>
      <w:r>
        <w:rPr>
          <w:rFonts w:cs="Arial"/>
          <w:color w:val="000000"/>
        </w:rPr>
        <w:t xml:space="preserve">, and 2 CFR part 200, as adopted by DHS at 2 CFR section 3002.10, including </w:t>
      </w:r>
      <w:r w:rsidRPr="007C3628">
        <w:rPr>
          <w:rFonts w:cs="Arial"/>
          <w:color w:val="000000"/>
        </w:rPr>
        <w:t>the Cash Management Improvement Act (31</w:t>
      </w:r>
      <w:r>
        <w:rPr>
          <w:rFonts w:cs="Arial"/>
          <w:color w:val="000000"/>
        </w:rPr>
        <w:t xml:space="preserve"> USC 6503; 31 CFR p</w:t>
      </w:r>
      <w:r w:rsidRPr="007C3628">
        <w:rPr>
          <w:rFonts w:cs="Arial"/>
          <w:color w:val="000000"/>
        </w:rPr>
        <w:t>art 205), as applicable, related to the retention and payment of interest apply.</w:t>
      </w:r>
      <w:r>
        <w:rPr>
          <w:rFonts w:cs="Arial"/>
          <w:color w:val="000000"/>
        </w:rPr>
        <w:t xml:space="preserve">  </w:t>
      </w:r>
    </w:p>
    <w:p w14:paraId="0C2D7599" w14:textId="77777777" w:rsidR="004B570A" w:rsidRDefault="004B570A" w:rsidP="00AB7D57">
      <w:pPr>
        <w:autoSpaceDE w:val="0"/>
        <w:autoSpaceDN w:val="0"/>
        <w:adjustRightInd w:val="0"/>
      </w:pPr>
      <w:r>
        <w:rPr>
          <w:b/>
          <w:bCs/>
        </w:rPr>
        <w:t>G.</w:t>
      </w:r>
      <w:r>
        <w:rPr>
          <w:b/>
          <w:bCs/>
        </w:rPr>
        <w:tab/>
        <w:t>Matching, Level of Effort, Earmarking</w:t>
      </w:r>
    </w:p>
    <w:p w14:paraId="47052D12" w14:textId="77777777" w:rsidR="004B570A" w:rsidRPr="00976021" w:rsidRDefault="004B570A" w:rsidP="00AB7D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pPr>
      <w:r>
        <w:rPr>
          <w:b/>
          <w:bCs/>
        </w:rPr>
        <w:t>1.</w:t>
      </w:r>
      <w:r>
        <w:rPr>
          <w:b/>
          <w:bCs/>
        </w:rPr>
        <w:tab/>
        <w:t xml:space="preserve">Matching – </w:t>
      </w:r>
      <w:r w:rsidRPr="0019599E">
        <w:rPr>
          <w:bCs/>
        </w:rPr>
        <w:t>Not Applicable</w:t>
      </w:r>
    </w:p>
    <w:p w14:paraId="2C9EF81D" w14:textId="77777777" w:rsidR="004B570A" w:rsidRDefault="004B570A" w:rsidP="00AB7D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pPr>
      <w:r>
        <w:rPr>
          <w:b/>
          <w:bCs/>
        </w:rPr>
        <w:t>2.</w:t>
      </w:r>
      <w:r>
        <w:rPr>
          <w:b/>
          <w:bCs/>
        </w:rPr>
        <w:tab/>
        <w:t>Level of Effort</w:t>
      </w:r>
      <w:r>
        <w:t xml:space="preserve"> – Not Applicable</w:t>
      </w:r>
    </w:p>
    <w:p w14:paraId="69A12B94" w14:textId="77777777" w:rsidR="004B570A" w:rsidRPr="00101220" w:rsidRDefault="004B570A" w:rsidP="00AB7D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b/>
          <w:i/>
        </w:rPr>
      </w:pPr>
      <w:r>
        <w:rPr>
          <w:b/>
          <w:bCs/>
        </w:rPr>
        <w:t>3.</w:t>
      </w:r>
      <w:r>
        <w:rPr>
          <w:b/>
          <w:bCs/>
        </w:rPr>
        <w:tab/>
      </w:r>
      <w:r w:rsidRPr="00101220">
        <w:rPr>
          <w:b/>
          <w:bCs/>
        </w:rPr>
        <w:t>Earmarking</w:t>
      </w:r>
      <w:r w:rsidRPr="00101220">
        <w:t xml:space="preserve"> </w:t>
      </w:r>
    </w:p>
    <w:p w14:paraId="6711ABB3" w14:textId="77777777" w:rsidR="004B570A" w:rsidRDefault="004B570A" w:rsidP="00AB7D57">
      <w:pPr>
        <w:ind w:left="2160" w:hanging="720"/>
        <w:rPr>
          <w:rFonts w:cs="Arial"/>
        </w:rPr>
      </w:pPr>
      <w:r w:rsidRPr="00A5124F">
        <w:t>a.</w:t>
      </w:r>
      <w:r w:rsidRPr="00A5124F">
        <w:tab/>
      </w:r>
      <w:r>
        <w:rPr>
          <w:rFonts w:cs="Arial"/>
        </w:rPr>
        <w:t>Beginning in FY 2010, the amount of HSGP funds (exclusive of OPSG funds, if any (House Report 111-157 to FY 2010 Department of Homeland Security Appropriations Act)) that recipients can allocate towards management and administration costs is five percent.  Beginning in FY 2011, five percent of OPSG funds may be used for costs of management and administration (discretionary decision by agency based on feedback from State and local stakeholders).  Beginning in FY 2013, the use of management and administration funds under OPSG became a statutory requirement (</w:t>
      </w:r>
      <w:r>
        <w:t xml:space="preserve">Consolidated and Further Continuing </w:t>
      </w:r>
      <w:r w:rsidRPr="002612D1">
        <w:t>Appropriations Act, 2013 (Pub</w:t>
      </w:r>
      <w:r>
        <w:t>. L. No.</w:t>
      </w:r>
      <w:r w:rsidRPr="002612D1">
        <w:t xml:space="preserve"> 113-6)</w:t>
      </w:r>
      <w:r>
        <w:t>; t</w:t>
      </w:r>
      <w:r w:rsidRPr="00717D49">
        <w:t xml:space="preserve">he </w:t>
      </w:r>
      <w:r>
        <w:t xml:space="preserve">Consolidated </w:t>
      </w:r>
      <w:r w:rsidRPr="00717D49">
        <w:t>Appropriations Act, 2014</w:t>
      </w:r>
      <w:r w:rsidRPr="004E47F4">
        <w:t xml:space="preserve"> </w:t>
      </w:r>
      <w:r w:rsidRPr="00120835">
        <w:t>(Pub</w:t>
      </w:r>
      <w:r>
        <w:t xml:space="preserve">. L. No. </w:t>
      </w:r>
      <w:r w:rsidRPr="00120835">
        <w:t>113-76)</w:t>
      </w:r>
      <w:r>
        <w:t xml:space="preserve">; </w:t>
      </w:r>
      <w:r w:rsidRPr="008D049C">
        <w:t>and the Department of Homeland Security Appropriations Act, 2015</w:t>
      </w:r>
      <w:r>
        <w:t xml:space="preserve"> (Pub. L. No. 114-4))</w:t>
      </w:r>
      <w:r w:rsidRPr="002612D1">
        <w:t>.</w:t>
      </w:r>
      <w:r>
        <w:t xml:space="preserve">  </w:t>
      </w:r>
    </w:p>
    <w:p w14:paraId="2BF4D130" w14:textId="0FC7B230" w:rsidR="004B570A" w:rsidRDefault="004B570A" w:rsidP="009E2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rsidRPr="00317734">
        <w:t>b.</w:t>
      </w:r>
      <w:r w:rsidRPr="00317734">
        <w:tab/>
      </w:r>
      <w:r>
        <w:t xml:space="preserve"> </w:t>
      </w:r>
      <w:r w:rsidRPr="00260F00">
        <w:t xml:space="preserve">States (except the District of Columbia, Guam, American Samoa, the U.S. Virgin Islands, and the Commonwealth of the Northern Mariana Islands) </w:t>
      </w:r>
      <w:r>
        <w:t>must</w:t>
      </w:r>
      <w:r w:rsidRPr="00626397">
        <w:t xml:space="preserve"> obligate </w:t>
      </w:r>
      <w:r w:rsidRPr="00626397">
        <w:rPr>
          <w:bCs/>
        </w:rPr>
        <w:t xml:space="preserve">80 percent </w:t>
      </w:r>
      <w:r w:rsidRPr="00626397">
        <w:t>of grant funds</w:t>
      </w:r>
      <w:r>
        <w:t xml:space="preserve"> under</w:t>
      </w:r>
      <w:r w:rsidRPr="00626397">
        <w:t xml:space="preserve"> the SHSP</w:t>
      </w:r>
      <w:r>
        <w:t xml:space="preserve"> </w:t>
      </w:r>
      <w:r w:rsidRPr="00626397">
        <w:t xml:space="preserve">and UASI programs </w:t>
      </w:r>
      <w:r>
        <w:t xml:space="preserve">and, beginning in FY 2010, </w:t>
      </w:r>
      <w:r w:rsidRPr="00D44D96">
        <w:t xml:space="preserve">100 percent of the OPSG award amount </w:t>
      </w:r>
      <w:r w:rsidRPr="00D241D8">
        <w:t>to units of local or tribal government</w:t>
      </w:r>
      <w:r w:rsidRPr="00D241D8" w:rsidDel="00551CBE">
        <w:t xml:space="preserve"> </w:t>
      </w:r>
      <w:r>
        <w:t>(6 USC 604(d)(2)(A); 6 USC 605(c)(1); report language for FY 2010 Department of Homeland Security Appropriations Act (Pub. L. No. 111-83, 123 Stat. 2158) and subsequent appropriations)</w:t>
      </w:r>
      <w:r w:rsidRPr="00FD1A32">
        <w:t xml:space="preserve">. </w:t>
      </w:r>
      <w:r>
        <w:t xml:space="preserve"> See III.N, “Special Tests and Provisions</w:t>
      </w:r>
      <w:r w:rsidR="00FC5249">
        <w:t xml:space="preserve"> –Subgrant Awards</w:t>
      </w:r>
      <w:r>
        <w:t>,” for the required timing of the obligation of these funds.</w:t>
      </w:r>
    </w:p>
    <w:p w14:paraId="6A09EC23" w14:textId="77777777" w:rsidR="004B570A" w:rsidRDefault="004B570A" w:rsidP="009E2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bCs/>
        </w:rPr>
      </w:pPr>
      <w:r>
        <w:rPr>
          <w:bCs/>
        </w:rPr>
        <w:t>c.</w:t>
      </w:r>
      <w:r>
        <w:rPr>
          <w:bCs/>
        </w:rPr>
        <w:tab/>
      </w:r>
      <w:r>
        <w:t xml:space="preserve">At least 25 percent of HSGP funds in FY 2009 were required to be allocated to the Strengthening Preparedness Planning Priority (see </w:t>
      </w:r>
      <w:hyperlink r:id="rId16" w:history="1">
        <w:r w:rsidRPr="00095E69">
          <w:rPr>
            <w:rStyle w:val="Hyperlink"/>
          </w:rPr>
          <w:t>http://www.fema.gov/fy-2009-homeland-security-grant-program</w:t>
        </w:r>
      </w:hyperlink>
      <w:r>
        <w:t xml:space="preserve">).  </w:t>
      </w:r>
    </w:p>
    <w:p w14:paraId="19B4E26B" w14:textId="77777777" w:rsidR="004B570A" w:rsidRPr="00FD1A32" w:rsidRDefault="004B570A" w:rsidP="00FC52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bCs/>
        </w:rPr>
      </w:pPr>
      <w:r>
        <w:rPr>
          <w:bCs/>
        </w:rPr>
        <w:lastRenderedPageBreak/>
        <w:t>d.</w:t>
      </w:r>
      <w:r>
        <w:rPr>
          <w:bCs/>
        </w:rPr>
        <w:tab/>
      </w:r>
      <w:r>
        <w:t xml:space="preserve">At least 25 of HSGP funds must be used for law enforcement terrorism activities </w:t>
      </w:r>
      <w:hyperlink r:id="rId17" w:history="1">
        <w:r w:rsidRPr="00520452">
          <w:rPr>
            <w:rStyle w:val="Hyperlink"/>
          </w:rPr>
          <w:t>(http://www.fema.gov/pdf/government/grant/hsgp/fy08_hsgp_guide.pdf</w:t>
        </w:r>
      </w:hyperlink>
      <w:r>
        <w:t xml:space="preserve"> and subsequent Funding Opportunity Announcements).</w:t>
      </w:r>
    </w:p>
    <w:p w14:paraId="4B5EE555" w14:textId="77777777" w:rsidR="004B570A" w:rsidRPr="00FD1A32" w:rsidRDefault="004B570A" w:rsidP="009E22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rPr>
      </w:pPr>
      <w:r w:rsidRPr="00FD1A32">
        <w:rPr>
          <w:b/>
          <w:bCs/>
        </w:rPr>
        <w:t>L.</w:t>
      </w:r>
      <w:r w:rsidRPr="00FD1A32">
        <w:rPr>
          <w:b/>
          <w:bCs/>
        </w:rPr>
        <w:tab/>
        <w:t>Reporting</w:t>
      </w:r>
    </w:p>
    <w:p w14:paraId="1290CC24" w14:textId="77777777" w:rsidR="004B570A" w:rsidRPr="00FD1A32" w:rsidRDefault="004B570A" w:rsidP="009E2214">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outlineLvl w:val="0"/>
      </w:pPr>
      <w:r w:rsidRPr="00FD1A32">
        <w:rPr>
          <w:b/>
          <w:bCs/>
        </w:rPr>
        <w:t>1.</w:t>
      </w:r>
      <w:r w:rsidRPr="00FD1A32">
        <w:rPr>
          <w:b/>
          <w:bCs/>
        </w:rPr>
        <w:tab/>
        <w:t>Financial Reporting</w:t>
      </w:r>
    </w:p>
    <w:p w14:paraId="57F447E2" w14:textId="77777777" w:rsidR="004B570A" w:rsidRPr="00FD1A32" w:rsidRDefault="004B570A" w:rsidP="009E2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a</w:t>
      </w:r>
      <w:r w:rsidRPr="00FD1A32">
        <w:t>.</w:t>
      </w:r>
      <w:r w:rsidRPr="00FD1A32">
        <w:tab/>
      </w:r>
      <w:r w:rsidRPr="006C38A3">
        <w:rPr>
          <w:iCs/>
        </w:rPr>
        <w:t>SF-270,</w:t>
      </w:r>
      <w:r w:rsidRPr="00FD1A32">
        <w:t xml:space="preserve"> </w:t>
      </w:r>
      <w:r w:rsidRPr="00FD1A32">
        <w:rPr>
          <w:i/>
          <w:iCs/>
        </w:rPr>
        <w:t>Request for Advance or Reimbursement</w:t>
      </w:r>
      <w:r>
        <w:t xml:space="preserve"> – </w:t>
      </w:r>
      <w:r w:rsidRPr="00FD1A32">
        <w:t>Not Applicable</w:t>
      </w:r>
    </w:p>
    <w:p w14:paraId="51769BE4" w14:textId="77777777" w:rsidR="004B570A" w:rsidRPr="00FD1A32" w:rsidRDefault="004B570A" w:rsidP="009E2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b</w:t>
      </w:r>
      <w:r w:rsidRPr="00FD1A32">
        <w:t>.</w:t>
      </w:r>
      <w:r w:rsidRPr="00FD1A32">
        <w:tab/>
      </w:r>
      <w:r w:rsidRPr="006C38A3">
        <w:rPr>
          <w:iCs/>
        </w:rPr>
        <w:t>SF-271,</w:t>
      </w:r>
      <w:r w:rsidRPr="00FD1A32">
        <w:t xml:space="preserve"> </w:t>
      </w:r>
      <w:r w:rsidRPr="00FD1A32">
        <w:rPr>
          <w:i/>
          <w:iCs/>
        </w:rPr>
        <w:t>Outlay Report and Request for Reimbursement for Construction Program</w:t>
      </w:r>
      <w:r>
        <w:rPr>
          <w:i/>
          <w:iCs/>
        </w:rPr>
        <w:t>s</w:t>
      </w:r>
      <w:r>
        <w:t xml:space="preserve"> – </w:t>
      </w:r>
      <w:r w:rsidRPr="00FD1A32">
        <w:t>Not Applicable</w:t>
      </w:r>
    </w:p>
    <w:p w14:paraId="4E475E28" w14:textId="77777777" w:rsidR="004B570A" w:rsidRDefault="004B570A" w:rsidP="009E22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pPr>
      <w:r>
        <w:t>c.</w:t>
      </w:r>
      <w:r>
        <w:tab/>
        <w:t xml:space="preserve">SF-425, </w:t>
      </w:r>
      <w:r w:rsidRPr="001F37EC">
        <w:rPr>
          <w:i/>
        </w:rPr>
        <w:t>Federal Financial Report</w:t>
      </w:r>
      <w:r>
        <w:t xml:space="preserve"> – Applicable </w:t>
      </w:r>
    </w:p>
    <w:p w14:paraId="22F406B0" w14:textId="77777777" w:rsidR="004B570A" w:rsidRPr="00054DB5" w:rsidRDefault="004B570A" w:rsidP="003063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sidRPr="00FD1A32">
        <w:rPr>
          <w:b/>
        </w:rPr>
        <w:t>2.</w:t>
      </w:r>
      <w:r w:rsidRPr="00FD1A32">
        <w:rPr>
          <w:b/>
        </w:rPr>
        <w:tab/>
        <w:t>Performance Reporting</w:t>
      </w:r>
      <w:r>
        <w:t>–</w:t>
      </w:r>
      <w:r w:rsidRPr="00FD1A32">
        <w:t xml:space="preserve"> </w:t>
      </w:r>
      <w:r>
        <w:t xml:space="preserve">Not </w:t>
      </w:r>
      <w:r w:rsidRPr="00FD1A32">
        <w:t>Applicable</w:t>
      </w:r>
    </w:p>
    <w:p w14:paraId="06B165D5" w14:textId="77777777" w:rsidR="004B570A" w:rsidRDefault="004B570A" w:rsidP="00AB7D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Cs/>
        </w:rPr>
      </w:pPr>
      <w:r w:rsidRPr="00FD1A32">
        <w:rPr>
          <w:b/>
          <w:bCs/>
        </w:rPr>
        <w:t>3.</w:t>
      </w:r>
      <w:r w:rsidRPr="00FD1A32">
        <w:rPr>
          <w:b/>
          <w:bCs/>
        </w:rPr>
        <w:tab/>
        <w:t>Special Reporting</w:t>
      </w:r>
      <w:r>
        <w:rPr>
          <w:b/>
          <w:bCs/>
        </w:rPr>
        <w:t xml:space="preserve"> – </w:t>
      </w:r>
      <w:r w:rsidRPr="00FD1A32">
        <w:rPr>
          <w:bCs/>
        </w:rPr>
        <w:t>Not Applicable</w:t>
      </w:r>
    </w:p>
    <w:p w14:paraId="5E9C5253" w14:textId="77777777" w:rsidR="004B570A" w:rsidRPr="00FD1A32" w:rsidRDefault="004B570A" w:rsidP="0018144A">
      <w:pPr>
        <w:ind w:left="720" w:hanging="720"/>
      </w:pPr>
      <w:r w:rsidRPr="00B67E00">
        <w:rPr>
          <w:rStyle w:val="CommentReference"/>
        </w:rPr>
        <w:t xml:space="preserve"> </w:t>
      </w:r>
      <w:r w:rsidRPr="00FD1A32">
        <w:rPr>
          <w:b/>
          <w:bCs/>
        </w:rPr>
        <w:t>N.</w:t>
      </w:r>
      <w:r w:rsidRPr="00FD1A32">
        <w:rPr>
          <w:b/>
          <w:bCs/>
          <w:sz w:val="14"/>
          <w:szCs w:val="14"/>
        </w:rPr>
        <w:tab/>
      </w:r>
      <w:r w:rsidRPr="00FD1A32">
        <w:rPr>
          <w:b/>
          <w:bCs/>
        </w:rPr>
        <w:t xml:space="preserve">Special Tests and Provisions </w:t>
      </w:r>
    </w:p>
    <w:p w14:paraId="2E0F31F7" w14:textId="77777777" w:rsidR="004B570A" w:rsidRPr="00FD1A32" w:rsidRDefault="004B570A" w:rsidP="0018144A">
      <w:pPr>
        <w:tabs>
          <w:tab w:val="left" w:pos="1440"/>
        </w:tabs>
        <w:ind w:left="720"/>
        <w:outlineLvl w:val="0"/>
      </w:pPr>
      <w:r w:rsidRPr="00FD1A32">
        <w:rPr>
          <w:b/>
          <w:bCs/>
        </w:rPr>
        <w:t>Subgrant Awards</w:t>
      </w:r>
    </w:p>
    <w:p w14:paraId="17FC9538" w14:textId="77777777" w:rsidR="004B570A" w:rsidRDefault="004B570A" w:rsidP="0018144A">
      <w:pPr>
        <w:ind w:left="720"/>
      </w:pPr>
      <w:r w:rsidRPr="00FD1A32">
        <w:rPr>
          <w:b/>
          <w:bCs/>
        </w:rPr>
        <w:t>Compliance Requirement</w:t>
      </w:r>
      <w:r w:rsidRPr="00FD1A32">
        <w:t xml:space="preserve"> – </w:t>
      </w:r>
      <w:r>
        <w:t xml:space="preserve">States (with the exception of </w:t>
      </w:r>
      <w:r w:rsidRPr="00C50DE2">
        <w:t>the District of Columbia, Guam, American Samoa, the U.S. Virgin Islands, and the Commonwealth of the Northern Mariana Islands</w:t>
      </w:r>
      <w:r>
        <w:t xml:space="preserve">) must </w:t>
      </w:r>
      <w:r w:rsidRPr="0034389E">
        <w:t xml:space="preserve">obligate at least 80 percent of the funds awarded </w:t>
      </w:r>
      <w:r>
        <w:t xml:space="preserve">to them </w:t>
      </w:r>
      <w:r w:rsidRPr="0034389E">
        <w:t xml:space="preserve">under SHSP and UASI to </w:t>
      </w:r>
      <w:r>
        <w:t xml:space="preserve">units of </w:t>
      </w:r>
      <w:r w:rsidRPr="0034389E">
        <w:t xml:space="preserve">local </w:t>
      </w:r>
      <w:r>
        <w:t xml:space="preserve">or tribal </w:t>
      </w:r>
      <w:r w:rsidRPr="0034389E">
        <w:t>government within 45 days of receipt of the funds</w:t>
      </w:r>
      <w:r>
        <w:t xml:space="preserve"> (6 USC 605(c)(1))</w:t>
      </w:r>
      <w:r w:rsidRPr="00FD1A32">
        <w:t>.</w:t>
      </w:r>
      <w:r>
        <w:t xml:space="preserve"> </w:t>
      </w:r>
      <w:r w:rsidRPr="00FD1A32">
        <w:t xml:space="preserve"> </w:t>
      </w:r>
      <w:r>
        <w:t xml:space="preserve">Recipients of OPSG funds </w:t>
      </w:r>
      <w:r w:rsidRPr="00916D8D">
        <w:t>must obligate 100 percent of their allocations to eligible jurisdictions within that same time frame.</w:t>
      </w:r>
      <w:r>
        <w:t xml:space="preserve">  </w:t>
      </w:r>
      <w:r w:rsidRPr="00916D8D">
        <w:t>“Receipt of funds” occurs when the recipient accepts the award or 15 days after the recipient is notified of the award, whichever comes first</w:t>
      </w:r>
      <w:r>
        <w:t>.</w:t>
      </w:r>
      <w:r w:rsidRPr="00916D8D">
        <w:t xml:space="preserve"> </w:t>
      </w:r>
      <w:r>
        <w:t xml:space="preserve"> </w:t>
      </w:r>
      <w:r w:rsidRPr="00FD1A32">
        <w:t>“Obligate” has the same meaning as in Federal appropriations law, i.e., there must be an action by the State to establish a firm commitment; the commitment must be unconditional on the part of the State; there must be documentary evidence of the commitment, and the award terms must be communicated to the sub</w:t>
      </w:r>
      <w:r>
        <w:t>recipient</w:t>
      </w:r>
      <w:r w:rsidRPr="00FD1A32">
        <w:t xml:space="preserve"> and, if applicable, accepted by the </w:t>
      </w:r>
      <w:r>
        <w:t>recipient</w:t>
      </w:r>
      <w:r w:rsidRPr="00FD1A32">
        <w:t>.</w:t>
      </w:r>
    </w:p>
    <w:p w14:paraId="4FF53991" w14:textId="77777777" w:rsidR="004B570A" w:rsidRPr="00FD1A32" w:rsidRDefault="004B570A" w:rsidP="009E2214">
      <w:pPr>
        <w:ind w:left="720"/>
      </w:pPr>
      <w:r w:rsidRPr="00FD1A32">
        <w:rPr>
          <w:b/>
          <w:bCs/>
        </w:rPr>
        <w:t>Audit Objectives</w:t>
      </w:r>
      <w:r>
        <w:t xml:space="preserve"> – </w:t>
      </w:r>
      <w:r w:rsidRPr="00FD1A32">
        <w:t>To determine if (1) the</w:t>
      </w:r>
      <w:r>
        <w:t xml:space="preserve"> </w:t>
      </w:r>
      <w:r w:rsidRPr="00FD1A32">
        <w:t xml:space="preserve">State complied with the requirement to obligate </w:t>
      </w:r>
      <w:r>
        <w:t xml:space="preserve">80 percent of the </w:t>
      </w:r>
      <w:r w:rsidRPr="00FD1A32">
        <w:t xml:space="preserve">funds </w:t>
      </w:r>
      <w:r w:rsidRPr="0034389E">
        <w:t xml:space="preserve">awarded under SHSP and UASI </w:t>
      </w:r>
      <w:r>
        <w:t xml:space="preserve">and 100 percent of the OPSG allocation passed through </w:t>
      </w:r>
      <w:r w:rsidRPr="0034389E">
        <w:t xml:space="preserve">to </w:t>
      </w:r>
      <w:r>
        <w:t xml:space="preserve">units of </w:t>
      </w:r>
      <w:r w:rsidRPr="0034389E">
        <w:t xml:space="preserve">local </w:t>
      </w:r>
      <w:r>
        <w:t xml:space="preserve">or tribal </w:t>
      </w:r>
      <w:r w:rsidRPr="0034389E">
        <w:t>government within 45 days of receipt of the funds</w:t>
      </w:r>
      <w:r>
        <w:t>,</w:t>
      </w:r>
      <w:r w:rsidRPr="00FD1A32">
        <w:t xml:space="preserve"> and (2) sub</w:t>
      </w:r>
      <w:r>
        <w:t>recipient</w:t>
      </w:r>
      <w:r w:rsidRPr="00FD1A32">
        <w:t xml:space="preserve"> were able to draw down funds immediately following State obligation of funds.</w:t>
      </w:r>
    </w:p>
    <w:p w14:paraId="0DAE60AC" w14:textId="77777777" w:rsidR="004B570A" w:rsidRPr="00FD1A32" w:rsidRDefault="004B570A" w:rsidP="00954119">
      <w:pPr>
        <w:ind w:left="720"/>
        <w:rPr>
          <w:b/>
        </w:rPr>
      </w:pPr>
      <w:r w:rsidRPr="00FD1A32">
        <w:rPr>
          <w:b/>
        </w:rPr>
        <w:t>Suggested Audit Procedures</w:t>
      </w:r>
    </w:p>
    <w:p w14:paraId="75BF56A9" w14:textId="77777777" w:rsidR="004B570A" w:rsidRPr="00FD1A32" w:rsidRDefault="004B570A" w:rsidP="009E2214">
      <w:pPr>
        <w:ind w:left="1440" w:hanging="720"/>
      </w:pPr>
      <w:r w:rsidRPr="00FD1A32">
        <w:t>a.</w:t>
      </w:r>
      <w:r w:rsidRPr="00FD1A32">
        <w:tab/>
        <w:t xml:space="preserve">Determine if the State has written procedures for making </w:t>
      </w:r>
      <w:r>
        <w:t xml:space="preserve">SHSP, UASI, and OPSG </w:t>
      </w:r>
      <w:r w:rsidRPr="00FD1A32">
        <w:t>subgrant awards</w:t>
      </w:r>
      <w:r>
        <w:t xml:space="preserve"> to local and tribal governments</w:t>
      </w:r>
      <w:r w:rsidRPr="00FD1A32">
        <w:t>, including any standards for administrative lead-time for obligation of funds and issuance of awards.</w:t>
      </w:r>
    </w:p>
    <w:p w14:paraId="486C89BB" w14:textId="77777777" w:rsidR="004B570A" w:rsidRPr="00FD1A32" w:rsidRDefault="004B570A" w:rsidP="009E2214">
      <w:pPr>
        <w:ind w:left="1440" w:hanging="720"/>
      </w:pPr>
      <w:r w:rsidRPr="00FD1A32">
        <w:lastRenderedPageBreak/>
        <w:t>b.</w:t>
      </w:r>
      <w:r w:rsidRPr="00FD1A32">
        <w:tab/>
        <w:t>Review the State’s written procedures, if any, for consistency with the compliance requirement.</w:t>
      </w:r>
    </w:p>
    <w:p w14:paraId="06EC99FD" w14:textId="77777777" w:rsidR="004B570A" w:rsidRPr="00FD1A32" w:rsidRDefault="004B570A" w:rsidP="009E2214">
      <w:pPr>
        <w:ind w:left="1440" w:hanging="720"/>
      </w:pPr>
      <w:r w:rsidRPr="00FD1A32">
        <w:t>c.</w:t>
      </w:r>
      <w:r w:rsidRPr="00FD1A32">
        <w:tab/>
        <w:t xml:space="preserve">Determine if subgrant amounts were obligated by the State in a timely manner, consistent with </w:t>
      </w:r>
      <w:r>
        <w:t xml:space="preserve">SHSP, UASI, and OPSG </w:t>
      </w:r>
      <w:r w:rsidRPr="00FD1A32">
        <w:t>requirements and the State’s own procedures.</w:t>
      </w:r>
    </w:p>
    <w:p w14:paraId="3DDC243A" w14:textId="77777777" w:rsidR="004B570A" w:rsidRPr="00FD1A32" w:rsidRDefault="004B570A" w:rsidP="00D7252E">
      <w:pPr>
        <w:ind w:left="1440" w:hanging="720"/>
      </w:pPr>
      <w:r w:rsidRPr="00FD1A32">
        <w:t>d.</w:t>
      </w:r>
      <w:r w:rsidRPr="00FD1A32">
        <w:rPr>
          <w:sz w:val="14"/>
          <w:szCs w:val="14"/>
        </w:rPr>
        <w:tab/>
      </w:r>
      <w:r w:rsidRPr="00FD1A32">
        <w:t xml:space="preserve">Select a sample of subgrant awards under </w:t>
      </w:r>
      <w:r>
        <w:t xml:space="preserve">these funding streams </w:t>
      </w:r>
      <w:r w:rsidRPr="00FD1A32">
        <w:t>and review the</w:t>
      </w:r>
      <w:r>
        <w:t xml:space="preserve"> subrecipients</w:t>
      </w:r>
      <w:r w:rsidRPr="00FD1A32">
        <w:t xml:space="preserve">’ payment requests to determine if funds were disbursed by the State to the local </w:t>
      </w:r>
      <w:r>
        <w:t xml:space="preserve">or tribal </w:t>
      </w:r>
      <w:r w:rsidRPr="00FD1A32">
        <w:t xml:space="preserve">government consistent with the dates of their </w:t>
      </w:r>
      <w:r>
        <w:t>sub</w:t>
      </w:r>
      <w:r w:rsidRPr="00FD1A32">
        <w:t>awards</w:t>
      </w:r>
      <w:r>
        <w:t>, i.e., the date of obligation</w:t>
      </w:r>
      <w:r w:rsidRPr="00FD1A32">
        <w:t>.</w:t>
      </w:r>
    </w:p>
    <w:p w14:paraId="41668A14" w14:textId="77777777" w:rsidR="004B570A" w:rsidRPr="00FD1A32" w:rsidRDefault="004B570A" w:rsidP="005A258A">
      <w:pPr>
        <w:keepNext/>
        <w:keepLines/>
        <w:numPr>
          <w:ilvl w:val="0"/>
          <w:numId w:val="27"/>
        </w:numPr>
        <w:tabs>
          <w:tab w:val="clear" w:pos="1080"/>
          <w:tab w:val="num" w:pos="720"/>
        </w:tabs>
        <w:ind w:hanging="1080"/>
        <w:rPr>
          <w:b/>
        </w:rPr>
      </w:pPr>
      <w:r w:rsidRPr="00FD1A32">
        <w:rPr>
          <w:b/>
        </w:rPr>
        <w:t>OTHER INFORMATION</w:t>
      </w:r>
    </w:p>
    <w:p w14:paraId="15CC0646" w14:textId="77777777" w:rsidR="004B570A" w:rsidRDefault="004B570A" w:rsidP="00AB7D57">
      <w:pPr>
        <w:pStyle w:val="default"/>
        <w:keepNext/>
        <w:keepLines/>
        <w:spacing w:after="240"/>
        <w:rPr>
          <w:color w:val="auto"/>
        </w:rPr>
      </w:pPr>
      <w:r>
        <w:t xml:space="preserve">When completing the Schedule of Expenditures of Federal Awards (SEFA), recipients should record their expenditures using the CFDA number(s) shown on </w:t>
      </w:r>
      <w:r>
        <w:rPr>
          <w:color w:val="auto"/>
        </w:rPr>
        <w:t>the legal award document for the period in which the funds were awarded.  Subawards issued by the primary recipient are legally binding agreements, and, therefore, CFDA numbers cited by the recipient in the subgrant award must be used by the subrecipient as the CFDA reference in the SEFA.</w:t>
      </w:r>
    </w:p>
    <w:p w14:paraId="4F195936" w14:textId="77777777" w:rsidR="004B570A" w:rsidRDefault="004B570A" w:rsidP="00AB7D57">
      <w:pPr>
        <w:pStyle w:val="default"/>
        <w:spacing w:after="240"/>
      </w:pPr>
      <w:r>
        <w:rPr>
          <w:color w:val="auto"/>
        </w:rPr>
        <w:t xml:space="preserve">Expenditures identified under this program in the current audit period may be attributable to awards made in both the current or prior years.  The current and previous CFDA numbers are shown in the following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1425"/>
        <w:gridCol w:w="860"/>
        <w:gridCol w:w="1068"/>
        <w:gridCol w:w="1584"/>
        <w:gridCol w:w="1661"/>
        <w:gridCol w:w="1724"/>
      </w:tblGrid>
      <w:tr w:rsidR="004B570A" w:rsidRPr="00FD1A32" w14:paraId="739973FD" w14:textId="77777777" w:rsidTr="008D3658">
        <w:trPr>
          <w:trHeight w:val="476"/>
          <w:tblHeader/>
        </w:trPr>
        <w:tc>
          <w:tcPr>
            <w:tcW w:w="550" w:type="pct"/>
            <w:vAlign w:val="bottom"/>
          </w:tcPr>
          <w:p w14:paraId="1A8045C9" w14:textId="77777777" w:rsidR="004B570A" w:rsidRPr="0000201F" w:rsidRDefault="004B570A" w:rsidP="00D23031">
            <w:pPr>
              <w:keepNext/>
              <w:keepLines/>
              <w:spacing w:before="40" w:after="40"/>
              <w:jc w:val="center"/>
              <w:rPr>
                <w:i/>
                <w:sz w:val="20"/>
                <w:szCs w:val="20"/>
              </w:rPr>
            </w:pPr>
            <w:r w:rsidRPr="0000201F">
              <w:rPr>
                <w:i/>
                <w:sz w:val="20"/>
                <w:szCs w:val="20"/>
              </w:rPr>
              <w:t>Year of Grant</w:t>
            </w:r>
          </w:p>
        </w:tc>
        <w:tc>
          <w:tcPr>
            <w:tcW w:w="762" w:type="pct"/>
            <w:vAlign w:val="bottom"/>
          </w:tcPr>
          <w:p w14:paraId="4601E957" w14:textId="77777777" w:rsidR="004B570A" w:rsidRPr="0000201F" w:rsidRDefault="004B570A" w:rsidP="00D23031">
            <w:pPr>
              <w:keepNext/>
              <w:keepLines/>
              <w:spacing w:before="40" w:after="40" w:line="240" w:lineRule="atLeast"/>
              <w:jc w:val="center"/>
              <w:rPr>
                <w:i/>
                <w:sz w:val="20"/>
                <w:szCs w:val="20"/>
              </w:rPr>
            </w:pPr>
            <w:r w:rsidRPr="0000201F">
              <w:rPr>
                <w:i/>
                <w:sz w:val="20"/>
                <w:szCs w:val="20"/>
              </w:rPr>
              <w:t>SHSP</w:t>
            </w:r>
            <w:r w:rsidRPr="0000201F">
              <w:rPr>
                <w:rStyle w:val="FootnoteReference"/>
                <w:i/>
                <w:sz w:val="20"/>
                <w:szCs w:val="20"/>
                <w:vertAlign w:val="superscript"/>
              </w:rPr>
              <w:footnoteReference w:id="1"/>
            </w:r>
          </w:p>
        </w:tc>
        <w:tc>
          <w:tcPr>
            <w:tcW w:w="460" w:type="pct"/>
            <w:vAlign w:val="bottom"/>
          </w:tcPr>
          <w:p w14:paraId="526186B8" w14:textId="77777777" w:rsidR="004B570A" w:rsidRPr="0000201F" w:rsidRDefault="004B570A" w:rsidP="00D23031">
            <w:pPr>
              <w:keepNext/>
              <w:keepLines/>
              <w:spacing w:before="40" w:after="40" w:line="240" w:lineRule="atLeast"/>
              <w:jc w:val="center"/>
              <w:rPr>
                <w:i/>
                <w:sz w:val="20"/>
                <w:szCs w:val="20"/>
              </w:rPr>
            </w:pPr>
            <w:r w:rsidRPr="0000201F">
              <w:rPr>
                <w:i/>
                <w:sz w:val="20"/>
                <w:szCs w:val="20"/>
              </w:rPr>
              <w:t>UASI</w:t>
            </w:r>
          </w:p>
        </w:tc>
        <w:tc>
          <w:tcPr>
            <w:tcW w:w="571" w:type="pct"/>
            <w:vAlign w:val="bottom"/>
          </w:tcPr>
          <w:p w14:paraId="027A3211" w14:textId="77777777" w:rsidR="004B570A" w:rsidRPr="0000201F" w:rsidRDefault="004B570A" w:rsidP="00D23031">
            <w:pPr>
              <w:keepNext/>
              <w:keepLines/>
              <w:spacing w:before="40" w:after="40" w:line="240" w:lineRule="atLeast"/>
              <w:jc w:val="center"/>
              <w:rPr>
                <w:i/>
                <w:sz w:val="20"/>
                <w:szCs w:val="20"/>
              </w:rPr>
            </w:pPr>
            <w:r w:rsidRPr="0000201F">
              <w:rPr>
                <w:i/>
                <w:sz w:val="20"/>
                <w:szCs w:val="20"/>
              </w:rPr>
              <w:t>CCP</w:t>
            </w:r>
          </w:p>
        </w:tc>
        <w:tc>
          <w:tcPr>
            <w:tcW w:w="847" w:type="pct"/>
            <w:vAlign w:val="bottom"/>
          </w:tcPr>
          <w:p w14:paraId="24DF54E6" w14:textId="77777777" w:rsidR="004B570A" w:rsidRPr="0000201F" w:rsidRDefault="004B570A" w:rsidP="00850C79">
            <w:pPr>
              <w:keepNext/>
              <w:keepLines/>
              <w:spacing w:before="40" w:after="40" w:line="240" w:lineRule="atLeast"/>
              <w:jc w:val="center"/>
              <w:rPr>
                <w:i/>
                <w:sz w:val="20"/>
                <w:szCs w:val="20"/>
              </w:rPr>
            </w:pPr>
            <w:r w:rsidRPr="0000201F">
              <w:rPr>
                <w:i/>
                <w:sz w:val="20"/>
                <w:szCs w:val="20"/>
              </w:rPr>
              <w:t>LETPP</w:t>
            </w:r>
          </w:p>
        </w:tc>
        <w:tc>
          <w:tcPr>
            <w:tcW w:w="888" w:type="pct"/>
            <w:vAlign w:val="bottom"/>
          </w:tcPr>
          <w:p w14:paraId="26C8C12B" w14:textId="77777777" w:rsidR="004B570A" w:rsidRPr="0000201F" w:rsidRDefault="004B570A" w:rsidP="00D23031">
            <w:pPr>
              <w:keepNext/>
              <w:keepLines/>
              <w:spacing w:before="40" w:after="40" w:line="240" w:lineRule="atLeast"/>
              <w:jc w:val="center"/>
              <w:rPr>
                <w:i/>
                <w:sz w:val="20"/>
                <w:szCs w:val="20"/>
              </w:rPr>
            </w:pPr>
            <w:r w:rsidRPr="0000201F">
              <w:rPr>
                <w:i/>
                <w:sz w:val="20"/>
                <w:szCs w:val="20"/>
              </w:rPr>
              <w:t>MMRS</w:t>
            </w:r>
          </w:p>
        </w:tc>
        <w:tc>
          <w:tcPr>
            <w:tcW w:w="922" w:type="pct"/>
            <w:vAlign w:val="bottom"/>
          </w:tcPr>
          <w:p w14:paraId="7EA74F48" w14:textId="77777777" w:rsidR="004B570A" w:rsidRPr="0000201F" w:rsidRDefault="004B570A" w:rsidP="00D23031">
            <w:pPr>
              <w:keepNext/>
              <w:keepLines/>
              <w:spacing w:before="40" w:after="40" w:line="240" w:lineRule="atLeast"/>
              <w:jc w:val="center"/>
              <w:rPr>
                <w:i/>
                <w:sz w:val="20"/>
                <w:szCs w:val="20"/>
              </w:rPr>
            </w:pPr>
            <w:r w:rsidRPr="0000201F">
              <w:rPr>
                <w:i/>
                <w:sz w:val="20"/>
                <w:szCs w:val="20"/>
              </w:rPr>
              <w:t>OPSG</w:t>
            </w:r>
          </w:p>
        </w:tc>
      </w:tr>
      <w:tr w:rsidR="004B570A" w:rsidRPr="00FD1A32" w14:paraId="082C208F" w14:textId="77777777" w:rsidTr="008D3658">
        <w:tc>
          <w:tcPr>
            <w:tcW w:w="550" w:type="pct"/>
          </w:tcPr>
          <w:p w14:paraId="6103B468" w14:textId="77777777" w:rsidR="004B570A" w:rsidRPr="00DE710B" w:rsidRDefault="004B570A" w:rsidP="00850C79">
            <w:pPr>
              <w:keepNext/>
              <w:keepLines/>
              <w:spacing w:before="40" w:after="40" w:line="240" w:lineRule="atLeast"/>
              <w:rPr>
                <w:sz w:val="19"/>
                <w:szCs w:val="19"/>
              </w:rPr>
            </w:pPr>
            <w:r w:rsidRPr="00DE710B">
              <w:rPr>
                <w:sz w:val="19"/>
                <w:szCs w:val="19"/>
              </w:rPr>
              <w:t>2009</w:t>
            </w:r>
          </w:p>
        </w:tc>
        <w:tc>
          <w:tcPr>
            <w:tcW w:w="762" w:type="pct"/>
          </w:tcPr>
          <w:p w14:paraId="662CF197" w14:textId="77777777" w:rsidR="004B570A" w:rsidRPr="00DE710B" w:rsidRDefault="004B570A" w:rsidP="00850C79">
            <w:pPr>
              <w:keepNext/>
              <w:keepLines/>
              <w:spacing w:before="40" w:after="40" w:line="240" w:lineRule="atLeast"/>
              <w:rPr>
                <w:sz w:val="19"/>
                <w:szCs w:val="19"/>
              </w:rPr>
            </w:pPr>
            <w:r w:rsidRPr="00DE710B">
              <w:rPr>
                <w:sz w:val="19"/>
                <w:szCs w:val="19"/>
              </w:rPr>
              <w:t>97.067</w:t>
            </w:r>
          </w:p>
        </w:tc>
        <w:tc>
          <w:tcPr>
            <w:tcW w:w="460" w:type="pct"/>
          </w:tcPr>
          <w:p w14:paraId="653D18B4" w14:textId="77777777" w:rsidR="004B570A" w:rsidRPr="00DE710B" w:rsidRDefault="004B570A" w:rsidP="00850C79">
            <w:pPr>
              <w:keepNext/>
              <w:keepLines/>
              <w:spacing w:before="40" w:after="40" w:line="240" w:lineRule="atLeast"/>
              <w:rPr>
                <w:sz w:val="19"/>
                <w:szCs w:val="19"/>
              </w:rPr>
            </w:pPr>
            <w:r w:rsidRPr="00DE710B">
              <w:rPr>
                <w:sz w:val="19"/>
                <w:szCs w:val="19"/>
              </w:rPr>
              <w:t>97.067</w:t>
            </w:r>
          </w:p>
        </w:tc>
        <w:tc>
          <w:tcPr>
            <w:tcW w:w="571" w:type="pct"/>
          </w:tcPr>
          <w:p w14:paraId="73E98BFA" w14:textId="77777777" w:rsidR="004B570A" w:rsidRPr="00DE710B" w:rsidRDefault="004B570A" w:rsidP="00850C79">
            <w:pPr>
              <w:keepNext/>
              <w:keepLines/>
              <w:spacing w:before="40" w:after="40" w:line="240" w:lineRule="atLeast"/>
              <w:rPr>
                <w:sz w:val="19"/>
                <w:szCs w:val="19"/>
              </w:rPr>
            </w:pPr>
            <w:r w:rsidRPr="00DE710B">
              <w:rPr>
                <w:sz w:val="19"/>
                <w:szCs w:val="19"/>
              </w:rPr>
              <w:t>97.067</w:t>
            </w:r>
            <w:r w:rsidRPr="00DE710B">
              <w:rPr>
                <w:rStyle w:val="FootnoteReference"/>
                <w:sz w:val="19"/>
                <w:szCs w:val="19"/>
                <w:vertAlign w:val="superscript"/>
              </w:rPr>
              <w:footnoteReference w:id="2"/>
            </w:r>
          </w:p>
        </w:tc>
        <w:tc>
          <w:tcPr>
            <w:tcW w:w="847" w:type="pct"/>
          </w:tcPr>
          <w:p w14:paraId="61ABE6CF" w14:textId="77777777" w:rsidR="004B570A" w:rsidRPr="00DE710B" w:rsidRDefault="004B570A" w:rsidP="00850C79">
            <w:pPr>
              <w:keepNext/>
              <w:keepLines/>
              <w:spacing w:before="40" w:after="40" w:line="240" w:lineRule="atLeast"/>
              <w:rPr>
                <w:sz w:val="19"/>
                <w:szCs w:val="19"/>
              </w:rPr>
            </w:pPr>
            <w:r w:rsidRPr="00DE710B">
              <w:rPr>
                <w:sz w:val="19"/>
                <w:szCs w:val="19"/>
              </w:rPr>
              <w:t>Program no longer a separate line-item</w:t>
            </w:r>
          </w:p>
        </w:tc>
        <w:tc>
          <w:tcPr>
            <w:tcW w:w="888" w:type="pct"/>
            <w:shd w:val="clear" w:color="auto" w:fill="auto"/>
          </w:tcPr>
          <w:p w14:paraId="1AC2901B" w14:textId="77777777" w:rsidR="004B570A" w:rsidRPr="00DE710B" w:rsidRDefault="004B570A" w:rsidP="00850C79">
            <w:pPr>
              <w:keepNext/>
              <w:keepLines/>
              <w:spacing w:before="40" w:after="40" w:line="240" w:lineRule="atLeast"/>
              <w:rPr>
                <w:sz w:val="19"/>
                <w:szCs w:val="19"/>
              </w:rPr>
            </w:pPr>
            <w:r w:rsidRPr="00DE710B">
              <w:rPr>
                <w:sz w:val="19"/>
                <w:szCs w:val="19"/>
              </w:rPr>
              <w:t>97.067</w:t>
            </w:r>
            <w:r w:rsidRPr="00DE710B">
              <w:rPr>
                <w:rStyle w:val="FootnoteReference"/>
                <w:sz w:val="19"/>
                <w:szCs w:val="19"/>
                <w:vertAlign w:val="superscript"/>
              </w:rPr>
              <w:footnoteReference w:id="3"/>
            </w:r>
          </w:p>
        </w:tc>
        <w:tc>
          <w:tcPr>
            <w:tcW w:w="922" w:type="pct"/>
          </w:tcPr>
          <w:p w14:paraId="351F2DC8" w14:textId="77777777" w:rsidR="004B570A" w:rsidRPr="00DE710B" w:rsidRDefault="004B570A" w:rsidP="00850C79">
            <w:pPr>
              <w:keepNext/>
              <w:keepLines/>
              <w:spacing w:before="40" w:after="40" w:line="240" w:lineRule="atLeast"/>
              <w:rPr>
                <w:sz w:val="19"/>
                <w:szCs w:val="19"/>
              </w:rPr>
            </w:pPr>
            <w:r w:rsidRPr="00DE710B">
              <w:rPr>
                <w:sz w:val="19"/>
                <w:szCs w:val="19"/>
              </w:rPr>
              <w:t>N/A (not part of the cluster/program)</w:t>
            </w:r>
          </w:p>
        </w:tc>
      </w:tr>
      <w:tr w:rsidR="004B570A" w:rsidRPr="00FD1A32" w14:paraId="74FD8916" w14:textId="77777777" w:rsidTr="008D3658">
        <w:tc>
          <w:tcPr>
            <w:tcW w:w="550" w:type="pct"/>
          </w:tcPr>
          <w:p w14:paraId="1FE9CBB1" w14:textId="77777777" w:rsidR="004B570A" w:rsidRPr="00DE710B" w:rsidRDefault="004B570A" w:rsidP="00850C79">
            <w:pPr>
              <w:spacing w:before="40" w:after="40" w:line="240" w:lineRule="atLeast"/>
              <w:rPr>
                <w:sz w:val="19"/>
                <w:szCs w:val="19"/>
              </w:rPr>
            </w:pPr>
            <w:r w:rsidRPr="00DE710B">
              <w:rPr>
                <w:sz w:val="19"/>
                <w:szCs w:val="19"/>
              </w:rPr>
              <w:t>2010</w:t>
            </w:r>
            <w:r>
              <w:rPr>
                <w:sz w:val="19"/>
                <w:szCs w:val="19"/>
              </w:rPr>
              <w:br/>
            </w:r>
            <w:r w:rsidRPr="00DE710B">
              <w:rPr>
                <w:sz w:val="19"/>
                <w:szCs w:val="19"/>
              </w:rPr>
              <w:t>2011</w:t>
            </w:r>
          </w:p>
        </w:tc>
        <w:tc>
          <w:tcPr>
            <w:tcW w:w="762" w:type="pct"/>
          </w:tcPr>
          <w:p w14:paraId="6738128D" w14:textId="77777777" w:rsidR="004B570A" w:rsidRPr="00DE710B" w:rsidRDefault="004B570A" w:rsidP="00850C79">
            <w:pPr>
              <w:spacing w:before="40" w:after="40" w:line="240" w:lineRule="atLeast"/>
              <w:rPr>
                <w:sz w:val="19"/>
                <w:szCs w:val="19"/>
              </w:rPr>
            </w:pPr>
            <w:r w:rsidRPr="00DE710B">
              <w:rPr>
                <w:sz w:val="19"/>
                <w:szCs w:val="19"/>
              </w:rPr>
              <w:t>97.067</w:t>
            </w:r>
          </w:p>
        </w:tc>
        <w:tc>
          <w:tcPr>
            <w:tcW w:w="460" w:type="pct"/>
          </w:tcPr>
          <w:p w14:paraId="6D2C8F79" w14:textId="77777777" w:rsidR="004B570A" w:rsidRPr="00DE710B" w:rsidRDefault="004B570A" w:rsidP="00850C79">
            <w:pPr>
              <w:spacing w:before="40" w:after="40" w:line="240" w:lineRule="atLeast"/>
              <w:rPr>
                <w:sz w:val="19"/>
                <w:szCs w:val="19"/>
              </w:rPr>
            </w:pPr>
            <w:r w:rsidRPr="00DE710B">
              <w:rPr>
                <w:sz w:val="19"/>
                <w:szCs w:val="19"/>
              </w:rPr>
              <w:t>97.067</w:t>
            </w:r>
          </w:p>
        </w:tc>
        <w:tc>
          <w:tcPr>
            <w:tcW w:w="571" w:type="pct"/>
          </w:tcPr>
          <w:p w14:paraId="61891682" w14:textId="77777777" w:rsidR="004B570A" w:rsidRPr="00DE710B" w:rsidRDefault="004B570A" w:rsidP="00850C79">
            <w:pPr>
              <w:spacing w:before="40" w:after="40" w:line="240" w:lineRule="atLeast"/>
              <w:rPr>
                <w:sz w:val="19"/>
                <w:szCs w:val="19"/>
              </w:rPr>
            </w:pPr>
            <w:r w:rsidRPr="00DE710B">
              <w:rPr>
                <w:sz w:val="19"/>
                <w:szCs w:val="19"/>
              </w:rPr>
              <w:t>97.067</w:t>
            </w:r>
            <w:r w:rsidRPr="00DE710B">
              <w:rPr>
                <w:rStyle w:val="FootnoteReference"/>
                <w:sz w:val="19"/>
                <w:szCs w:val="19"/>
                <w:vertAlign w:val="superscript"/>
              </w:rPr>
              <w:footnoteReference w:id="4"/>
            </w:r>
          </w:p>
        </w:tc>
        <w:tc>
          <w:tcPr>
            <w:tcW w:w="847" w:type="pct"/>
          </w:tcPr>
          <w:p w14:paraId="63315550" w14:textId="77777777" w:rsidR="004B570A" w:rsidRPr="00DE710B" w:rsidRDefault="004B570A" w:rsidP="00850C79">
            <w:pPr>
              <w:spacing w:before="40" w:after="40" w:line="240" w:lineRule="atLeast"/>
              <w:rPr>
                <w:sz w:val="19"/>
                <w:szCs w:val="19"/>
              </w:rPr>
            </w:pPr>
            <w:r w:rsidRPr="00DE710B">
              <w:rPr>
                <w:sz w:val="19"/>
                <w:szCs w:val="19"/>
              </w:rPr>
              <w:t>Program no longer a separate line-item</w:t>
            </w:r>
          </w:p>
        </w:tc>
        <w:tc>
          <w:tcPr>
            <w:tcW w:w="888" w:type="pct"/>
            <w:shd w:val="clear" w:color="auto" w:fill="auto"/>
          </w:tcPr>
          <w:p w14:paraId="76A2C0F7" w14:textId="77777777" w:rsidR="004B570A" w:rsidRPr="00DE710B" w:rsidRDefault="004B570A" w:rsidP="00850C79">
            <w:pPr>
              <w:spacing w:before="40" w:after="40" w:line="240" w:lineRule="atLeast"/>
              <w:rPr>
                <w:sz w:val="19"/>
                <w:szCs w:val="19"/>
              </w:rPr>
            </w:pPr>
            <w:r w:rsidRPr="00DE710B">
              <w:rPr>
                <w:sz w:val="19"/>
                <w:szCs w:val="19"/>
              </w:rPr>
              <w:t>97.067</w:t>
            </w:r>
            <w:r w:rsidRPr="00DE710B">
              <w:rPr>
                <w:rStyle w:val="FootnoteReference"/>
                <w:sz w:val="19"/>
                <w:szCs w:val="19"/>
                <w:vertAlign w:val="superscript"/>
              </w:rPr>
              <w:footnoteReference w:id="5"/>
            </w:r>
          </w:p>
        </w:tc>
        <w:tc>
          <w:tcPr>
            <w:tcW w:w="922" w:type="pct"/>
          </w:tcPr>
          <w:p w14:paraId="5CD1BAF1" w14:textId="77777777" w:rsidR="004B570A" w:rsidRPr="00DE710B" w:rsidRDefault="004B570A" w:rsidP="00850C79">
            <w:pPr>
              <w:spacing w:before="40" w:after="40" w:line="240" w:lineRule="atLeast"/>
              <w:rPr>
                <w:sz w:val="19"/>
                <w:szCs w:val="19"/>
              </w:rPr>
            </w:pPr>
            <w:r w:rsidRPr="00DE710B">
              <w:rPr>
                <w:sz w:val="19"/>
                <w:szCs w:val="19"/>
              </w:rPr>
              <w:t>97.067</w:t>
            </w:r>
          </w:p>
        </w:tc>
      </w:tr>
      <w:tr w:rsidR="004B570A" w:rsidRPr="00FD1A32" w14:paraId="14852E7D" w14:textId="77777777" w:rsidTr="008D3658">
        <w:trPr>
          <w:trHeight w:val="638"/>
        </w:trPr>
        <w:tc>
          <w:tcPr>
            <w:tcW w:w="550" w:type="pct"/>
            <w:tcBorders>
              <w:bottom w:val="single" w:sz="4" w:space="0" w:color="auto"/>
            </w:tcBorders>
          </w:tcPr>
          <w:p w14:paraId="3D811385" w14:textId="77777777" w:rsidR="004B570A" w:rsidRDefault="004B570A" w:rsidP="00850C79">
            <w:pPr>
              <w:spacing w:before="40" w:after="40" w:line="240" w:lineRule="atLeast"/>
              <w:rPr>
                <w:sz w:val="19"/>
                <w:szCs w:val="19"/>
              </w:rPr>
            </w:pPr>
            <w:r>
              <w:rPr>
                <w:sz w:val="19"/>
                <w:szCs w:val="19"/>
              </w:rPr>
              <w:t>2012</w:t>
            </w:r>
          </w:p>
          <w:p w14:paraId="1BD698FB" w14:textId="77777777" w:rsidR="004B570A" w:rsidRDefault="004B570A" w:rsidP="00850C79">
            <w:pPr>
              <w:spacing w:before="40" w:after="40" w:line="240" w:lineRule="atLeast"/>
              <w:rPr>
                <w:sz w:val="19"/>
                <w:szCs w:val="19"/>
              </w:rPr>
            </w:pPr>
            <w:r>
              <w:rPr>
                <w:sz w:val="19"/>
                <w:szCs w:val="19"/>
              </w:rPr>
              <w:t>2013</w:t>
            </w:r>
          </w:p>
          <w:p w14:paraId="12B7897D" w14:textId="77777777" w:rsidR="004B570A" w:rsidRDefault="004B570A" w:rsidP="00850C79">
            <w:pPr>
              <w:spacing w:before="40" w:after="40" w:line="240" w:lineRule="atLeast"/>
              <w:rPr>
                <w:sz w:val="19"/>
                <w:szCs w:val="19"/>
              </w:rPr>
            </w:pPr>
            <w:r>
              <w:rPr>
                <w:sz w:val="19"/>
                <w:szCs w:val="19"/>
              </w:rPr>
              <w:t>2014</w:t>
            </w:r>
          </w:p>
          <w:p w14:paraId="26222BA5" w14:textId="77777777" w:rsidR="004B570A" w:rsidRPr="00DE710B" w:rsidRDefault="004B570A" w:rsidP="00850C79">
            <w:pPr>
              <w:spacing w:before="40" w:after="40" w:line="240" w:lineRule="atLeast"/>
              <w:rPr>
                <w:sz w:val="19"/>
                <w:szCs w:val="19"/>
              </w:rPr>
            </w:pPr>
            <w:r>
              <w:rPr>
                <w:sz w:val="19"/>
                <w:szCs w:val="19"/>
              </w:rPr>
              <w:t>2015</w:t>
            </w:r>
          </w:p>
        </w:tc>
        <w:tc>
          <w:tcPr>
            <w:tcW w:w="762" w:type="pct"/>
            <w:tcBorders>
              <w:bottom w:val="single" w:sz="4" w:space="0" w:color="auto"/>
            </w:tcBorders>
          </w:tcPr>
          <w:p w14:paraId="07F12B5E" w14:textId="77777777" w:rsidR="004B570A" w:rsidRPr="00DE710B" w:rsidRDefault="004B570A" w:rsidP="00850C79">
            <w:pPr>
              <w:spacing w:before="40" w:after="40" w:line="240" w:lineRule="atLeast"/>
              <w:rPr>
                <w:sz w:val="19"/>
                <w:szCs w:val="19"/>
              </w:rPr>
            </w:pPr>
            <w:r w:rsidRPr="00DE710B">
              <w:rPr>
                <w:sz w:val="19"/>
                <w:szCs w:val="19"/>
              </w:rPr>
              <w:t>97.067</w:t>
            </w:r>
          </w:p>
        </w:tc>
        <w:tc>
          <w:tcPr>
            <w:tcW w:w="460" w:type="pct"/>
            <w:tcBorders>
              <w:bottom w:val="single" w:sz="4" w:space="0" w:color="auto"/>
            </w:tcBorders>
          </w:tcPr>
          <w:p w14:paraId="4A196122" w14:textId="77777777" w:rsidR="004B570A" w:rsidRPr="00DE710B" w:rsidRDefault="004B570A" w:rsidP="00850C79">
            <w:pPr>
              <w:spacing w:before="40" w:after="40" w:line="240" w:lineRule="atLeast"/>
              <w:rPr>
                <w:sz w:val="19"/>
                <w:szCs w:val="19"/>
              </w:rPr>
            </w:pPr>
            <w:r w:rsidRPr="00DE710B">
              <w:rPr>
                <w:sz w:val="19"/>
                <w:szCs w:val="19"/>
              </w:rPr>
              <w:t>97.067</w:t>
            </w:r>
          </w:p>
        </w:tc>
        <w:tc>
          <w:tcPr>
            <w:tcW w:w="571" w:type="pct"/>
            <w:tcBorders>
              <w:bottom w:val="single" w:sz="4" w:space="0" w:color="auto"/>
            </w:tcBorders>
          </w:tcPr>
          <w:p w14:paraId="4AB020BB" w14:textId="77777777" w:rsidR="004B570A" w:rsidRPr="00DE710B" w:rsidRDefault="004B570A" w:rsidP="00850C79">
            <w:pPr>
              <w:spacing w:before="40" w:after="40" w:line="240" w:lineRule="atLeast"/>
              <w:rPr>
                <w:sz w:val="19"/>
                <w:szCs w:val="19"/>
              </w:rPr>
            </w:pPr>
            <w:r w:rsidRPr="00DE710B">
              <w:rPr>
                <w:sz w:val="19"/>
                <w:szCs w:val="19"/>
              </w:rPr>
              <w:t>Pr</w:t>
            </w:r>
            <w:r>
              <w:rPr>
                <w:sz w:val="19"/>
                <w:szCs w:val="19"/>
              </w:rPr>
              <w:t xml:space="preserve">ogram no longer a separate line </w:t>
            </w:r>
            <w:r w:rsidRPr="00DE710B">
              <w:rPr>
                <w:sz w:val="19"/>
                <w:szCs w:val="19"/>
              </w:rPr>
              <w:t>item</w:t>
            </w:r>
          </w:p>
        </w:tc>
        <w:tc>
          <w:tcPr>
            <w:tcW w:w="847" w:type="pct"/>
            <w:tcBorders>
              <w:bottom w:val="single" w:sz="4" w:space="0" w:color="auto"/>
            </w:tcBorders>
          </w:tcPr>
          <w:p w14:paraId="61E4756E" w14:textId="77777777" w:rsidR="004B570A" w:rsidRPr="00DE710B" w:rsidRDefault="004B570A" w:rsidP="00850C79">
            <w:pPr>
              <w:spacing w:before="40" w:after="40" w:line="240" w:lineRule="atLeast"/>
              <w:rPr>
                <w:sz w:val="19"/>
                <w:szCs w:val="19"/>
              </w:rPr>
            </w:pPr>
            <w:r w:rsidRPr="00DE710B">
              <w:rPr>
                <w:sz w:val="19"/>
                <w:szCs w:val="19"/>
              </w:rPr>
              <w:t>Pr</w:t>
            </w:r>
            <w:r>
              <w:rPr>
                <w:sz w:val="19"/>
                <w:szCs w:val="19"/>
              </w:rPr>
              <w:t xml:space="preserve">ogram no longer a separate line </w:t>
            </w:r>
            <w:r w:rsidRPr="00DE710B">
              <w:rPr>
                <w:sz w:val="19"/>
                <w:szCs w:val="19"/>
              </w:rPr>
              <w:t>item</w:t>
            </w:r>
          </w:p>
        </w:tc>
        <w:tc>
          <w:tcPr>
            <w:tcW w:w="888" w:type="pct"/>
            <w:tcBorders>
              <w:bottom w:val="single" w:sz="4" w:space="0" w:color="auto"/>
            </w:tcBorders>
            <w:shd w:val="clear" w:color="auto" w:fill="auto"/>
          </w:tcPr>
          <w:p w14:paraId="1479F274" w14:textId="77777777" w:rsidR="004B570A" w:rsidRPr="00DE710B" w:rsidRDefault="004B570A" w:rsidP="00850C79">
            <w:pPr>
              <w:spacing w:before="40" w:after="40" w:line="240" w:lineRule="atLeast"/>
              <w:rPr>
                <w:sz w:val="19"/>
                <w:szCs w:val="19"/>
              </w:rPr>
            </w:pPr>
            <w:r w:rsidRPr="00DE710B">
              <w:rPr>
                <w:sz w:val="19"/>
                <w:szCs w:val="19"/>
              </w:rPr>
              <w:t>Pr</w:t>
            </w:r>
            <w:r>
              <w:rPr>
                <w:sz w:val="19"/>
                <w:szCs w:val="19"/>
              </w:rPr>
              <w:t xml:space="preserve">ogram no longer a separate line </w:t>
            </w:r>
            <w:r w:rsidRPr="00DE710B">
              <w:rPr>
                <w:sz w:val="19"/>
                <w:szCs w:val="19"/>
              </w:rPr>
              <w:t>item</w:t>
            </w:r>
          </w:p>
        </w:tc>
        <w:tc>
          <w:tcPr>
            <w:tcW w:w="922" w:type="pct"/>
            <w:tcBorders>
              <w:bottom w:val="single" w:sz="4" w:space="0" w:color="auto"/>
            </w:tcBorders>
          </w:tcPr>
          <w:p w14:paraId="2556F86D" w14:textId="77777777" w:rsidR="004B570A" w:rsidRPr="00DE710B" w:rsidRDefault="004B570A" w:rsidP="00850C79">
            <w:pPr>
              <w:spacing w:before="40" w:after="40" w:line="240" w:lineRule="atLeast"/>
              <w:rPr>
                <w:sz w:val="19"/>
                <w:szCs w:val="19"/>
              </w:rPr>
            </w:pPr>
            <w:r>
              <w:rPr>
                <w:sz w:val="19"/>
                <w:szCs w:val="19"/>
              </w:rPr>
              <w:t>97.067</w:t>
            </w:r>
          </w:p>
        </w:tc>
      </w:tr>
    </w:tbl>
    <w:p w14:paraId="4AF09562" w14:textId="0772A790" w:rsidR="00005152" w:rsidRPr="001476AA" w:rsidRDefault="004B570A" w:rsidP="00FC5249">
      <w:pPr>
        <w:spacing w:before="240"/>
      </w:pPr>
      <w:r>
        <w:lastRenderedPageBreak/>
        <w:t xml:space="preserve">It also </w:t>
      </w:r>
      <w:r w:rsidRPr="00FD1A32">
        <w:t xml:space="preserve">should be noted that, except as otherwise provided by statute, DHS awards of property and/or equipment are subject to the </w:t>
      </w:r>
      <w:r>
        <w:t xml:space="preserve">audit </w:t>
      </w:r>
      <w:r w:rsidRPr="00FD1A32">
        <w:t xml:space="preserve">requirements of </w:t>
      </w:r>
      <w:r>
        <w:t>2 CFR part 200, subpart F</w:t>
      </w:r>
      <w:r w:rsidRPr="00FD1A32">
        <w:t xml:space="preserve">.  A DHS policy statement that addresses this requirement is available at </w:t>
      </w:r>
      <w:hyperlink r:id="rId18" w:history="1">
        <w:r w:rsidRPr="00FD1A32">
          <w:rPr>
            <w:rStyle w:val="Hyperlink"/>
          </w:rPr>
          <w:t>http://www.dhs.gov/xopnbiz/grants/gc_1162481125903.shtm</w:t>
        </w:r>
      </w:hyperlink>
      <w:r w:rsidRPr="00FD1A32">
        <w:t>.</w:t>
      </w:r>
    </w:p>
    <w:sectPr w:rsidR="00005152" w:rsidRPr="001476AA" w:rsidSect="00AB7D57">
      <w:headerReference w:type="default" r:id="rId19"/>
      <w:footerReference w:type="defaul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44C1A" w14:textId="77777777" w:rsidR="004A51C5" w:rsidRDefault="004A51C5">
      <w:r>
        <w:separator/>
      </w:r>
    </w:p>
  </w:endnote>
  <w:endnote w:type="continuationSeparator" w:id="0">
    <w:p w14:paraId="38D22327" w14:textId="77777777" w:rsidR="004A51C5" w:rsidRDefault="004A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ITC Franklin Gothic Std Bk C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7C23E" w14:textId="628AC203" w:rsidR="00AB7D57" w:rsidRDefault="00C82B4D">
    <w:pPr>
      <w:pBdr>
        <w:top w:val="single" w:sz="4" w:space="1" w:color="auto"/>
      </w:pBdr>
      <w:tabs>
        <w:tab w:val="center" w:pos="4680"/>
      </w:tabs>
      <w:rPr>
        <w:sz w:val="18"/>
      </w:rPr>
    </w:pPr>
    <w:r>
      <w:rPr>
        <w:sz w:val="18"/>
      </w:rPr>
      <w:t>Compliance Supplement</w:t>
    </w:r>
    <w:r>
      <w:rPr>
        <w:sz w:val="18"/>
      </w:rPr>
      <w:tab/>
      <w:t>4-97.0</w:t>
    </w:r>
    <w:r w:rsidR="007F3F59">
      <w:rPr>
        <w:sz w:val="18"/>
      </w:rPr>
      <w:t>36</w:t>
    </w:r>
    <w:r>
      <w:rPr>
        <w:sz w:val="18"/>
      </w:rPr>
      <w:t>-</w:t>
    </w:r>
    <w:r>
      <w:rPr>
        <w:sz w:val="18"/>
      </w:rPr>
      <w:fldChar w:fldCharType="begin"/>
    </w:r>
    <w:r>
      <w:rPr>
        <w:sz w:val="18"/>
      </w:rPr>
      <w:instrText xml:space="preserve">PAGE </w:instrText>
    </w:r>
    <w:r>
      <w:rPr>
        <w:sz w:val="18"/>
      </w:rPr>
      <w:fldChar w:fldCharType="separate"/>
    </w:r>
    <w:r w:rsidR="00B03080">
      <w:rPr>
        <w:noProof/>
        <w:sz w:val="18"/>
      </w:rPr>
      <w:t>12</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BF8D2" w14:textId="3AF7F871" w:rsidR="00005152" w:rsidRDefault="00005152">
    <w:pPr>
      <w:pBdr>
        <w:top w:val="single" w:sz="4" w:space="1" w:color="auto"/>
      </w:pBdr>
      <w:tabs>
        <w:tab w:val="center" w:pos="4680"/>
      </w:tabs>
      <w:rPr>
        <w:sz w:val="18"/>
      </w:rPr>
    </w:pPr>
    <w:r>
      <w:rPr>
        <w:sz w:val="18"/>
      </w:rPr>
      <w:t>Compliance Supplement</w:t>
    </w:r>
    <w:r>
      <w:rPr>
        <w:sz w:val="18"/>
      </w:rPr>
      <w:tab/>
      <w:t>4-97.039-</w:t>
    </w:r>
    <w:r>
      <w:rPr>
        <w:sz w:val="18"/>
      </w:rPr>
      <w:fldChar w:fldCharType="begin"/>
    </w:r>
    <w:r>
      <w:rPr>
        <w:sz w:val="18"/>
      </w:rPr>
      <w:instrText xml:space="preserve">PAGE </w:instrText>
    </w:r>
    <w:r>
      <w:rPr>
        <w:sz w:val="18"/>
      </w:rPr>
      <w:fldChar w:fldCharType="separate"/>
    </w:r>
    <w:r w:rsidR="00B03080">
      <w:rPr>
        <w:noProof/>
        <w:sz w:val="18"/>
      </w:rPr>
      <w:t>6</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71592" w14:textId="07DC47C9" w:rsidR="004B570A" w:rsidRDefault="004B570A">
    <w:pPr>
      <w:pBdr>
        <w:top w:val="single" w:sz="4" w:space="1" w:color="auto"/>
      </w:pBdr>
      <w:tabs>
        <w:tab w:val="center" w:pos="4680"/>
      </w:tabs>
      <w:rPr>
        <w:sz w:val="18"/>
      </w:rPr>
    </w:pPr>
    <w:r>
      <w:rPr>
        <w:sz w:val="18"/>
      </w:rPr>
      <w:t>Compliance Supplement</w:t>
    </w:r>
    <w:r>
      <w:rPr>
        <w:sz w:val="18"/>
      </w:rPr>
      <w:tab/>
      <w:t>4-97.067-</w:t>
    </w:r>
    <w:r>
      <w:rPr>
        <w:sz w:val="18"/>
      </w:rPr>
      <w:fldChar w:fldCharType="begin"/>
    </w:r>
    <w:r>
      <w:rPr>
        <w:sz w:val="18"/>
      </w:rPr>
      <w:instrText xml:space="preserve">PAGE </w:instrText>
    </w:r>
    <w:r>
      <w:rPr>
        <w:sz w:val="18"/>
      </w:rPr>
      <w:fldChar w:fldCharType="separate"/>
    </w:r>
    <w:r w:rsidR="00B03080">
      <w:rPr>
        <w:noProof/>
        <w:sz w:val="18"/>
      </w:rPr>
      <w:t>1</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315B0" w14:textId="77777777" w:rsidR="004A51C5" w:rsidRDefault="004A51C5">
      <w:r>
        <w:separator/>
      </w:r>
    </w:p>
  </w:footnote>
  <w:footnote w:type="continuationSeparator" w:id="0">
    <w:p w14:paraId="107F1E81" w14:textId="77777777" w:rsidR="004A51C5" w:rsidRDefault="004A51C5">
      <w:r>
        <w:continuationSeparator/>
      </w:r>
    </w:p>
  </w:footnote>
  <w:footnote w:id="1">
    <w:p w14:paraId="33A2CD44" w14:textId="77777777" w:rsidR="004B570A" w:rsidRDefault="004B570A" w:rsidP="00AB7D57">
      <w:pPr>
        <w:pStyle w:val="FootnoteText"/>
      </w:pPr>
      <w:r w:rsidRPr="00BF07B9">
        <w:rPr>
          <w:rStyle w:val="FootnoteReference"/>
          <w:vertAlign w:val="superscript"/>
        </w:rPr>
        <w:footnoteRef/>
      </w:r>
      <w:r w:rsidRPr="003B5E99">
        <w:t xml:space="preserve"> </w:t>
      </w:r>
      <w:r>
        <w:rPr>
          <w:bCs/>
          <w:szCs w:val="24"/>
        </w:rPr>
        <w:t>On October 11, 2010, the State Domestic Preparedness Equipment Support Program was renamed as the State Homeland Security (Grant) Program (SHSP) (CFDA 97.073), which is one of the component programs that was merged or consolidated into the Homeland Security Grant program (CFDA 97.067).</w:t>
      </w:r>
    </w:p>
  </w:footnote>
  <w:footnote w:id="2">
    <w:p w14:paraId="07A98B43" w14:textId="77777777" w:rsidR="004B570A" w:rsidRPr="00BF07B9" w:rsidRDefault="004B570A">
      <w:pPr>
        <w:pStyle w:val="FootnoteText"/>
      </w:pPr>
      <w:r w:rsidRPr="00BF07B9">
        <w:rPr>
          <w:rStyle w:val="FootnoteReference"/>
          <w:vertAlign w:val="superscript"/>
        </w:rPr>
        <w:footnoteRef/>
      </w:r>
      <w:r w:rsidRPr="00BF07B9">
        <w:t xml:space="preserve"> </w:t>
      </w:r>
      <w:r w:rsidRPr="00BF07B9">
        <w:rPr>
          <w:rFonts w:cs="Arial"/>
        </w:rPr>
        <w:t>At the sub</w:t>
      </w:r>
      <w:r>
        <w:rPr>
          <w:rFonts w:cs="Arial"/>
        </w:rPr>
        <w:t>recipient</w:t>
      </w:r>
      <w:r w:rsidRPr="00BF07B9">
        <w:rPr>
          <w:rFonts w:cs="Arial"/>
        </w:rPr>
        <w:t xml:space="preserve"> level, the CFDA numbers may have been listed</w:t>
      </w:r>
      <w:r>
        <w:rPr>
          <w:rFonts w:cs="Arial"/>
        </w:rPr>
        <w:t xml:space="preserve"> as 97.053</w:t>
      </w:r>
      <w:r w:rsidRPr="00BF07B9">
        <w:rPr>
          <w:rFonts w:cs="Arial"/>
        </w:rPr>
        <w:t xml:space="preserve"> and 97.071, and should be included in this cluster.</w:t>
      </w:r>
    </w:p>
  </w:footnote>
  <w:footnote w:id="3">
    <w:p w14:paraId="0E504FDA" w14:textId="77777777" w:rsidR="004B570A" w:rsidRDefault="004B570A">
      <w:pPr>
        <w:pStyle w:val="FootnoteText"/>
      </w:pPr>
      <w:r w:rsidRPr="00BF07B9">
        <w:rPr>
          <w:rStyle w:val="FootnoteReference"/>
          <w:vertAlign w:val="superscript"/>
        </w:rPr>
        <w:footnoteRef/>
      </w:r>
      <w:r w:rsidRPr="00BF07B9">
        <w:rPr>
          <w:vertAlign w:val="superscript"/>
        </w:rPr>
        <w:t xml:space="preserve"> </w:t>
      </w:r>
      <w:r>
        <w:rPr>
          <w:rFonts w:cs="Arial"/>
        </w:rPr>
        <w:t>At the subrecipient level, the CFDA numbers may have been listed as 97.053 and 97.071, and should be included in this cluster.</w:t>
      </w:r>
    </w:p>
  </w:footnote>
  <w:footnote w:id="4">
    <w:p w14:paraId="3A140EC0" w14:textId="77777777" w:rsidR="004B570A" w:rsidRPr="00BF07B9" w:rsidRDefault="004B570A">
      <w:pPr>
        <w:pStyle w:val="FootnoteText"/>
      </w:pPr>
      <w:r w:rsidRPr="00BF07B9">
        <w:rPr>
          <w:rStyle w:val="FootnoteReference"/>
          <w:vertAlign w:val="superscript"/>
        </w:rPr>
        <w:footnoteRef/>
      </w:r>
      <w:r w:rsidRPr="00BF07B9">
        <w:t xml:space="preserve"> </w:t>
      </w:r>
      <w:r w:rsidRPr="00BF07B9">
        <w:rPr>
          <w:rFonts w:cs="Arial"/>
        </w:rPr>
        <w:t>At the sub</w:t>
      </w:r>
      <w:r>
        <w:rPr>
          <w:rFonts w:cs="Arial"/>
        </w:rPr>
        <w:t>recipient</w:t>
      </w:r>
      <w:r w:rsidRPr="00BF07B9">
        <w:rPr>
          <w:rFonts w:cs="Arial"/>
        </w:rPr>
        <w:t xml:space="preserve"> level, the CFDA numbers may have been listed</w:t>
      </w:r>
      <w:r>
        <w:rPr>
          <w:rFonts w:cs="Arial"/>
        </w:rPr>
        <w:t xml:space="preserve"> as 97.053</w:t>
      </w:r>
      <w:r w:rsidRPr="00BF07B9">
        <w:rPr>
          <w:rFonts w:cs="Arial"/>
        </w:rPr>
        <w:t xml:space="preserve"> and 97.071, and should be included in this cluster.</w:t>
      </w:r>
    </w:p>
  </w:footnote>
  <w:footnote w:id="5">
    <w:p w14:paraId="2E86AA34" w14:textId="77777777" w:rsidR="004B570A" w:rsidRDefault="004B570A">
      <w:pPr>
        <w:pStyle w:val="FootnoteText"/>
      </w:pPr>
      <w:r w:rsidRPr="00BF07B9">
        <w:rPr>
          <w:rStyle w:val="FootnoteReference"/>
          <w:vertAlign w:val="superscript"/>
        </w:rPr>
        <w:footnoteRef/>
      </w:r>
      <w:r w:rsidRPr="00BF07B9">
        <w:rPr>
          <w:vertAlign w:val="superscript"/>
        </w:rPr>
        <w:t xml:space="preserve"> </w:t>
      </w:r>
      <w:r>
        <w:rPr>
          <w:rFonts w:cs="Arial"/>
        </w:rPr>
        <w:t>At the subrecipient level, the CFDA numbers may have been listed as 97.053 and 97.071, and should be included in this cluster.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D3C6" w14:textId="0CBB78C9" w:rsidR="00AB7D57" w:rsidRPr="00A945DB" w:rsidRDefault="00B03080">
    <w:pPr>
      <w:pBdr>
        <w:bottom w:val="single" w:sz="4" w:space="1" w:color="auto"/>
      </w:pBdr>
      <w:tabs>
        <w:tab w:val="center" w:pos="4680"/>
        <w:tab w:val="right" w:pos="9360"/>
      </w:tabs>
      <w:rPr>
        <w:sz w:val="18"/>
      </w:rPr>
    </w:pPr>
    <w:r>
      <w:rPr>
        <w:sz w:val="18"/>
      </w:rPr>
      <w:t>June</w:t>
    </w:r>
    <w:r w:rsidR="00C3004C">
      <w:rPr>
        <w:sz w:val="18"/>
      </w:rPr>
      <w:t xml:space="preserve"> 2016</w:t>
    </w:r>
    <w:r w:rsidR="00C82B4D">
      <w:rPr>
        <w:sz w:val="18"/>
      </w:rPr>
      <w:tab/>
    </w:r>
    <w:r w:rsidR="007F3F59">
      <w:rPr>
        <w:sz w:val="18"/>
        <w:szCs w:val="18"/>
      </w:rPr>
      <w:t>Public Assistance</w:t>
    </w:r>
    <w:r w:rsidR="00C82B4D">
      <w:rPr>
        <w:sz w:val="18"/>
      </w:rPr>
      <w:tab/>
    </w:r>
    <w:r w:rsidR="00C82B4D" w:rsidRPr="00A945DB">
      <w:rPr>
        <w:sz w:val="18"/>
      </w:rPr>
      <w:t>DHS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984E" w14:textId="42BF5BB5" w:rsidR="00005152" w:rsidRPr="00A945DB" w:rsidRDefault="00B03080">
    <w:pPr>
      <w:pBdr>
        <w:bottom w:val="single" w:sz="4" w:space="1" w:color="auto"/>
      </w:pBdr>
      <w:tabs>
        <w:tab w:val="center" w:pos="4680"/>
        <w:tab w:val="right" w:pos="9360"/>
      </w:tabs>
      <w:rPr>
        <w:sz w:val="18"/>
      </w:rPr>
    </w:pPr>
    <w:r>
      <w:rPr>
        <w:sz w:val="18"/>
      </w:rPr>
      <w:t>June</w:t>
    </w:r>
    <w:r w:rsidR="00005152">
      <w:rPr>
        <w:sz w:val="18"/>
      </w:rPr>
      <w:t xml:space="preserve"> 2016</w:t>
    </w:r>
    <w:r w:rsidR="00005152">
      <w:rPr>
        <w:sz w:val="18"/>
      </w:rPr>
      <w:tab/>
    </w:r>
    <w:r w:rsidR="00005152">
      <w:rPr>
        <w:sz w:val="18"/>
        <w:szCs w:val="18"/>
      </w:rPr>
      <w:t>Hazard Mitigation Grant</w:t>
    </w:r>
    <w:r w:rsidR="00005152">
      <w:rPr>
        <w:sz w:val="18"/>
      </w:rPr>
      <w:tab/>
    </w:r>
    <w:r w:rsidR="00005152" w:rsidRPr="00A945DB">
      <w:rPr>
        <w:sz w:val="18"/>
      </w:rPr>
      <w:t>DHS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8667" w14:textId="742685C8" w:rsidR="00005152" w:rsidRPr="00A945DB" w:rsidRDefault="00B03080">
    <w:pPr>
      <w:pBdr>
        <w:bottom w:val="single" w:sz="4" w:space="1" w:color="auto"/>
      </w:pBdr>
      <w:tabs>
        <w:tab w:val="center" w:pos="4680"/>
        <w:tab w:val="right" w:pos="9360"/>
      </w:tabs>
      <w:rPr>
        <w:sz w:val="18"/>
      </w:rPr>
    </w:pPr>
    <w:r>
      <w:rPr>
        <w:sz w:val="18"/>
      </w:rPr>
      <w:t>June</w:t>
    </w:r>
    <w:r w:rsidR="00005152">
      <w:rPr>
        <w:sz w:val="18"/>
      </w:rPr>
      <w:t xml:space="preserve"> 2016</w:t>
    </w:r>
    <w:r w:rsidR="00005152">
      <w:rPr>
        <w:sz w:val="18"/>
      </w:rPr>
      <w:tab/>
    </w:r>
    <w:r w:rsidR="004B570A">
      <w:rPr>
        <w:sz w:val="18"/>
        <w:szCs w:val="18"/>
      </w:rPr>
      <w:t>Homeland Security Grant</w:t>
    </w:r>
    <w:r w:rsidR="00005152">
      <w:rPr>
        <w:sz w:val="18"/>
      </w:rPr>
      <w:tab/>
    </w:r>
    <w:r w:rsidR="00005152" w:rsidRPr="00A945DB">
      <w:rPr>
        <w:sz w:val="18"/>
      </w:rPr>
      <w:t>DHS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12E70E9"/>
    <w:multiLevelType w:val="hybridMultilevel"/>
    <w:tmpl w:val="59D830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3"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A273BA7"/>
    <w:multiLevelType w:val="hybridMultilevel"/>
    <w:tmpl w:val="E7DC8D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B72E47"/>
    <w:multiLevelType w:val="hybridMultilevel"/>
    <w:tmpl w:val="0874CD58"/>
    <w:lvl w:ilvl="0" w:tplc="CB7847B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F28E6"/>
    <w:multiLevelType w:val="hybridMultilevel"/>
    <w:tmpl w:val="059EE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4075AB"/>
    <w:multiLevelType w:val="hybridMultilevel"/>
    <w:tmpl w:val="662E9020"/>
    <w:lvl w:ilvl="0" w:tplc="FFFFFFF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8AF440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E810AE"/>
    <w:multiLevelType w:val="hybridMultilevel"/>
    <w:tmpl w:val="5914E0A4"/>
    <w:lvl w:ilvl="0" w:tplc="24D208DE">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5A0078"/>
    <w:multiLevelType w:val="hybridMultilevel"/>
    <w:tmpl w:val="2F5AFF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0191975"/>
    <w:multiLevelType w:val="hybridMultilevel"/>
    <w:tmpl w:val="5B00614E"/>
    <w:lvl w:ilvl="0" w:tplc="04090001">
      <w:start w:val="1"/>
      <w:numFmt w:val="bullet"/>
      <w:lvlText w:val=""/>
      <w:lvlJc w:val="left"/>
      <w:pPr>
        <w:ind w:left="720" w:hanging="360"/>
      </w:pPr>
      <w:rPr>
        <w:rFonts w:ascii="Symbol" w:hAnsi="Symbol" w:hint="default"/>
        <w:strike w:val="0"/>
        <w:dstrike w:val="0"/>
        <w:color w:val="auto"/>
        <w:sz w:val="16"/>
        <w:szCs w:val="16"/>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CD5B3B"/>
    <w:multiLevelType w:val="hybridMultilevel"/>
    <w:tmpl w:val="590EE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9E00CF"/>
    <w:multiLevelType w:val="hybridMultilevel"/>
    <w:tmpl w:val="DFA08D1A"/>
    <w:lvl w:ilvl="0" w:tplc="F0024276">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49CC8748"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316C3E23"/>
    <w:multiLevelType w:val="hybridMultilevel"/>
    <w:tmpl w:val="610A3E6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170F1"/>
    <w:multiLevelType w:val="hybridMultilevel"/>
    <w:tmpl w:val="3B8E4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9E543A1"/>
    <w:multiLevelType w:val="hybridMultilevel"/>
    <w:tmpl w:val="05EEF6FA"/>
    <w:lvl w:ilvl="0" w:tplc="1572F68E">
      <w:start w:val="3"/>
      <w:numFmt w:val="decimal"/>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80"/>
        </w:tabs>
        <w:ind w:left="1080" w:hanging="360"/>
      </w:pPr>
    </w:lvl>
    <w:lvl w:ilvl="2" w:tplc="39AE1DF2">
      <w:start w:val="1"/>
      <w:numFmt w:val="lowerLetter"/>
      <w:lvlText w:val="%3."/>
      <w:lvlJc w:val="left"/>
      <w:pPr>
        <w:tabs>
          <w:tab w:val="num" w:pos="1980"/>
        </w:tabs>
        <w:ind w:left="1980" w:hanging="360"/>
      </w:pPr>
      <w:rPr>
        <w:rFonts w:hint="default"/>
        <w:b w:val="0"/>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D1471B"/>
    <w:multiLevelType w:val="hybridMultilevel"/>
    <w:tmpl w:val="10226C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EBA1858"/>
    <w:multiLevelType w:val="hybridMultilevel"/>
    <w:tmpl w:val="2D80E7E0"/>
    <w:lvl w:ilvl="0" w:tplc="8084D5F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9916AE"/>
    <w:multiLevelType w:val="hybridMultilevel"/>
    <w:tmpl w:val="8B8845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CC1D4"/>
    <w:multiLevelType w:val="hybridMultilevel"/>
    <w:tmpl w:val="B10B8DAA"/>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pStyle w:val="Outlinea"/>
      <w:lvlText w:val="%2."/>
      <w:lvlJc w:val="left"/>
      <w:pPr>
        <w:tabs>
          <w:tab w:val="num" w:pos="900"/>
        </w:tabs>
        <w:ind w:left="900" w:hanging="360"/>
      </w:pPr>
      <w:rPr>
        <w:b w:val="0"/>
      </w:rPr>
    </w:lvl>
    <w:lvl w:ilvl="2">
      <w:start w:val="1"/>
      <w:numFmt w:val="decimal"/>
      <w:pStyle w:val="Outline10"/>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26" w15:restartNumberingAfterBreak="0">
    <w:nsid w:val="537F752C"/>
    <w:multiLevelType w:val="hybridMultilevel"/>
    <w:tmpl w:val="C178C04C"/>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987890"/>
    <w:multiLevelType w:val="hybridMultilevel"/>
    <w:tmpl w:val="93DC06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cs="Courier New" w:hint="default"/>
      </w:rPr>
    </w:lvl>
    <w:lvl w:ilvl="5" w:tplc="04090005">
      <w:start w:val="1"/>
      <w:numFmt w:val="bullet"/>
      <w:lvlText w:val=""/>
      <w:lvlJc w:val="left"/>
      <w:pPr>
        <w:ind w:left="2520" w:hanging="360"/>
      </w:pPr>
      <w:rPr>
        <w:rFonts w:ascii="Wingdings" w:hAnsi="Wingdings" w:hint="default"/>
      </w:rPr>
    </w:lvl>
    <w:lvl w:ilvl="6" w:tplc="04090001">
      <w:start w:val="1"/>
      <w:numFmt w:val="bullet"/>
      <w:lvlText w:val=""/>
      <w:lvlJc w:val="left"/>
      <w:pPr>
        <w:ind w:left="3240" w:hanging="360"/>
      </w:pPr>
      <w:rPr>
        <w:rFonts w:ascii="Symbol" w:hAnsi="Symbol" w:hint="default"/>
      </w:rPr>
    </w:lvl>
    <w:lvl w:ilvl="7" w:tplc="04090003">
      <w:start w:val="1"/>
      <w:numFmt w:val="bullet"/>
      <w:lvlText w:val="o"/>
      <w:lvlJc w:val="left"/>
      <w:pPr>
        <w:ind w:left="3960" w:hanging="360"/>
      </w:pPr>
      <w:rPr>
        <w:rFonts w:ascii="Courier New" w:hAnsi="Courier New" w:cs="Courier New" w:hint="default"/>
      </w:rPr>
    </w:lvl>
    <w:lvl w:ilvl="8" w:tplc="04090005">
      <w:start w:val="1"/>
      <w:numFmt w:val="bullet"/>
      <w:lvlText w:val=""/>
      <w:lvlJc w:val="left"/>
      <w:pPr>
        <w:ind w:left="4680" w:hanging="360"/>
      </w:pPr>
      <w:rPr>
        <w:rFonts w:ascii="Wingdings" w:hAnsi="Wingdings" w:hint="default"/>
      </w:rPr>
    </w:lvl>
  </w:abstractNum>
  <w:abstractNum w:abstractNumId="29"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8D200B"/>
    <w:multiLevelType w:val="hybridMultilevel"/>
    <w:tmpl w:val="B0100ABE"/>
    <w:lvl w:ilvl="0" w:tplc="9EF0D34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0E3010B"/>
    <w:multiLevelType w:val="hybridMultilevel"/>
    <w:tmpl w:val="E69EDE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1EB1A23"/>
    <w:multiLevelType w:val="hybridMultilevel"/>
    <w:tmpl w:val="EB76B0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13"/>
  </w:num>
  <w:num w:numId="4">
    <w:abstractNumId w:val="19"/>
  </w:num>
  <w:num w:numId="5">
    <w:abstractNumId w:val="29"/>
  </w:num>
  <w:num w:numId="6">
    <w:abstractNumId w:val="17"/>
  </w:num>
  <w:num w:numId="7">
    <w:abstractNumId w:val="33"/>
  </w:num>
  <w:num w:numId="8">
    <w:abstractNumId w:val="27"/>
  </w:num>
  <w:num w:numId="9">
    <w:abstractNumId w:val="12"/>
  </w:num>
  <w:num w:numId="10">
    <w:abstractNumId w:val="3"/>
  </w:num>
  <w:num w:numId="11">
    <w:abstractNumId w:val="2"/>
  </w:num>
  <w:num w:numId="12">
    <w:abstractNumId w:val="25"/>
  </w:num>
  <w:num w:numId="13">
    <w:abstractNumId w:val="21"/>
  </w:num>
  <w:num w:numId="14">
    <w:abstractNumId w:val="23"/>
  </w:num>
  <w:num w:numId="15">
    <w:abstractNumId w:val="32"/>
  </w:num>
  <w:num w:numId="16">
    <w:abstractNumId w:val="31"/>
  </w:num>
  <w:num w:numId="17">
    <w:abstractNumId w:val="1"/>
  </w:num>
  <w:num w:numId="18">
    <w:abstractNumId w:val="20"/>
  </w:num>
  <w:num w:numId="19">
    <w:abstractNumId w:val="7"/>
  </w:num>
  <w:num w:numId="20">
    <w:abstractNumId w:val="22"/>
  </w:num>
  <w:num w:numId="21">
    <w:abstractNumId w:val="9"/>
  </w:num>
  <w:num w:numId="22">
    <w:abstractNumId w:val="5"/>
  </w:num>
  <w:num w:numId="23">
    <w:abstractNumId w:val="4"/>
  </w:num>
  <w:num w:numId="24">
    <w:abstractNumId w:val="30"/>
  </w:num>
  <w:num w:numId="25">
    <w:abstractNumId w:val="18"/>
  </w:num>
  <w:num w:numId="26">
    <w:abstractNumId w:val="14"/>
  </w:num>
  <w:num w:numId="27">
    <w:abstractNumId w:val="8"/>
  </w:num>
  <w:num w:numId="28">
    <w:abstractNumId w:val="28"/>
  </w:num>
  <w:num w:numId="29">
    <w:abstractNumId w:val="6"/>
  </w:num>
  <w:num w:numId="30">
    <w:abstractNumId w:val="10"/>
  </w:num>
  <w:num w:numId="31">
    <w:abstractNumId w:val="10"/>
  </w:num>
  <w:num w:numId="32">
    <w:abstractNumId w:val="11"/>
  </w:num>
  <w:num w:numId="33">
    <w:abstractNumId w:val="15"/>
  </w:num>
  <w:num w:numId="34">
    <w:abstractNumId w:val="16"/>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CA"/>
    <w:rsid w:val="00003263"/>
    <w:rsid w:val="00005152"/>
    <w:rsid w:val="00010F12"/>
    <w:rsid w:val="00014609"/>
    <w:rsid w:val="0001479A"/>
    <w:rsid w:val="00016D7D"/>
    <w:rsid w:val="0003398B"/>
    <w:rsid w:val="00033AFF"/>
    <w:rsid w:val="000367F4"/>
    <w:rsid w:val="00036860"/>
    <w:rsid w:val="00040BBC"/>
    <w:rsid w:val="0004204F"/>
    <w:rsid w:val="000423FF"/>
    <w:rsid w:val="000460BD"/>
    <w:rsid w:val="00051531"/>
    <w:rsid w:val="00052F13"/>
    <w:rsid w:val="000556EA"/>
    <w:rsid w:val="00056602"/>
    <w:rsid w:val="00063391"/>
    <w:rsid w:val="000671FA"/>
    <w:rsid w:val="00067DCC"/>
    <w:rsid w:val="0007429F"/>
    <w:rsid w:val="000836A1"/>
    <w:rsid w:val="00083B2A"/>
    <w:rsid w:val="0009088F"/>
    <w:rsid w:val="000930C9"/>
    <w:rsid w:val="00093239"/>
    <w:rsid w:val="000A12F5"/>
    <w:rsid w:val="000A16F8"/>
    <w:rsid w:val="000A31D6"/>
    <w:rsid w:val="000A322E"/>
    <w:rsid w:val="000A4CA7"/>
    <w:rsid w:val="000A5860"/>
    <w:rsid w:val="000B684E"/>
    <w:rsid w:val="000C0EB3"/>
    <w:rsid w:val="000C539D"/>
    <w:rsid w:val="000D51E8"/>
    <w:rsid w:val="000E26A6"/>
    <w:rsid w:val="000E2849"/>
    <w:rsid w:val="000E2DDF"/>
    <w:rsid w:val="000E3995"/>
    <w:rsid w:val="000E5F83"/>
    <w:rsid w:val="000E72A3"/>
    <w:rsid w:val="000F15F9"/>
    <w:rsid w:val="000F5C23"/>
    <w:rsid w:val="00102C82"/>
    <w:rsid w:val="00110170"/>
    <w:rsid w:val="00113B42"/>
    <w:rsid w:val="00114B38"/>
    <w:rsid w:val="00117C2B"/>
    <w:rsid w:val="0012016E"/>
    <w:rsid w:val="00120957"/>
    <w:rsid w:val="001211E6"/>
    <w:rsid w:val="001246C6"/>
    <w:rsid w:val="001275C2"/>
    <w:rsid w:val="00132787"/>
    <w:rsid w:val="00135153"/>
    <w:rsid w:val="001378FC"/>
    <w:rsid w:val="001426C1"/>
    <w:rsid w:val="00146628"/>
    <w:rsid w:val="001476AA"/>
    <w:rsid w:val="00153444"/>
    <w:rsid w:val="00153DC0"/>
    <w:rsid w:val="00155372"/>
    <w:rsid w:val="00156CAA"/>
    <w:rsid w:val="001643BF"/>
    <w:rsid w:val="0016672E"/>
    <w:rsid w:val="0018144A"/>
    <w:rsid w:val="00191FC2"/>
    <w:rsid w:val="001949C3"/>
    <w:rsid w:val="001A0FDD"/>
    <w:rsid w:val="001B0F2C"/>
    <w:rsid w:val="001B682C"/>
    <w:rsid w:val="001B7DBC"/>
    <w:rsid w:val="001C3486"/>
    <w:rsid w:val="001C6518"/>
    <w:rsid w:val="001D07D9"/>
    <w:rsid w:val="001D31CB"/>
    <w:rsid w:val="001D74F2"/>
    <w:rsid w:val="001E3A69"/>
    <w:rsid w:val="001E4BEC"/>
    <w:rsid w:val="001F12EF"/>
    <w:rsid w:val="001F2220"/>
    <w:rsid w:val="001F281E"/>
    <w:rsid w:val="001F4AE0"/>
    <w:rsid w:val="001F79A4"/>
    <w:rsid w:val="00200BF0"/>
    <w:rsid w:val="00204AE7"/>
    <w:rsid w:val="002055DB"/>
    <w:rsid w:val="00206E43"/>
    <w:rsid w:val="0021200A"/>
    <w:rsid w:val="00212B7E"/>
    <w:rsid w:val="00213314"/>
    <w:rsid w:val="0021403C"/>
    <w:rsid w:val="00215006"/>
    <w:rsid w:val="002168D6"/>
    <w:rsid w:val="0022053C"/>
    <w:rsid w:val="0022223F"/>
    <w:rsid w:val="00225049"/>
    <w:rsid w:val="00226715"/>
    <w:rsid w:val="002271F5"/>
    <w:rsid w:val="00230301"/>
    <w:rsid w:val="00236A60"/>
    <w:rsid w:val="0024106E"/>
    <w:rsid w:val="002419DC"/>
    <w:rsid w:val="002422E7"/>
    <w:rsid w:val="00243CD7"/>
    <w:rsid w:val="00261493"/>
    <w:rsid w:val="00263CA1"/>
    <w:rsid w:val="00270B8B"/>
    <w:rsid w:val="00276DBB"/>
    <w:rsid w:val="00277868"/>
    <w:rsid w:val="002833B7"/>
    <w:rsid w:val="00284337"/>
    <w:rsid w:val="002877DA"/>
    <w:rsid w:val="002945F4"/>
    <w:rsid w:val="002B3A42"/>
    <w:rsid w:val="002B4F03"/>
    <w:rsid w:val="002C1438"/>
    <w:rsid w:val="002C6BDC"/>
    <w:rsid w:val="002D2AE6"/>
    <w:rsid w:val="002D2C68"/>
    <w:rsid w:val="002E29ED"/>
    <w:rsid w:val="002E3CC6"/>
    <w:rsid w:val="002E50D2"/>
    <w:rsid w:val="002F1096"/>
    <w:rsid w:val="002F38CE"/>
    <w:rsid w:val="002F5FFA"/>
    <w:rsid w:val="002F64AF"/>
    <w:rsid w:val="002F7180"/>
    <w:rsid w:val="00305782"/>
    <w:rsid w:val="00307716"/>
    <w:rsid w:val="0031274E"/>
    <w:rsid w:val="00322B60"/>
    <w:rsid w:val="00322B68"/>
    <w:rsid w:val="00323973"/>
    <w:rsid w:val="00327797"/>
    <w:rsid w:val="0032779F"/>
    <w:rsid w:val="003333A4"/>
    <w:rsid w:val="00334DF3"/>
    <w:rsid w:val="00343D09"/>
    <w:rsid w:val="00343E92"/>
    <w:rsid w:val="0034533D"/>
    <w:rsid w:val="003470E6"/>
    <w:rsid w:val="00347D8A"/>
    <w:rsid w:val="00350466"/>
    <w:rsid w:val="0035578E"/>
    <w:rsid w:val="00361EB4"/>
    <w:rsid w:val="00365E86"/>
    <w:rsid w:val="00365F52"/>
    <w:rsid w:val="003679CD"/>
    <w:rsid w:val="00371508"/>
    <w:rsid w:val="00374F6C"/>
    <w:rsid w:val="00377F85"/>
    <w:rsid w:val="00383B9B"/>
    <w:rsid w:val="003903B6"/>
    <w:rsid w:val="00390C4D"/>
    <w:rsid w:val="003A3FD3"/>
    <w:rsid w:val="003A52FE"/>
    <w:rsid w:val="003B677E"/>
    <w:rsid w:val="003C3B1E"/>
    <w:rsid w:val="003C512F"/>
    <w:rsid w:val="003D28A8"/>
    <w:rsid w:val="003D5D08"/>
    <w:rsid w:val="003D5E8F"/>
    <w:rsid w:val="003D63D3"/>
    <w:rsid w:val="003E1046"/>
    <w:rsid w:val="003E10CB"/>
    <w:rsid w:val="003F69BA"/>
    <w:rsid w:val="00403A1D"/>
    <w:rsid w:val="00406B69"/>
    <w:rsid w:val="00413E12"/>
    <w:rsid w:val="004141F5"/>
    <w:rsid w:val="00421D23"/>
    <w:rsid w:val="0042586C"/>
    <w:rsid w:val="00431082"/>
    <w:rsid w:val="00442966"/>
    <w:rsid w:val="00442CA4"/>
    <w:rsid w:val="004457B8"/>
    <w:rsid w:val="00445A4C"/>
    <w:rsid w:val="004469F6"/>
    <w:rsid w:val="004475A5"/>
    <w:rsid w:val="00450AC2"/>
    <w:rsid w:val="004549B9"/>
    <w:rsid w:val="00455F91"/>
    <w:rsid w:val="00456087"/>
    <w:rsid w:val="00461EB0"/>
    <w:rsid w:val="00467D38"/>
    <w:rsid w:val="00470E0C"/>
    <w:rsid w:val="004801E0"/>
    <w:rsid w:val="00486069"/>
    <w:rsid w:val="00486D1E"/>
    <w:rsid w:val="00487BC8"/>
    <w:rsid w:val="00494528"/>
    <w:rsid w:val="004955B5"/>
    <w:rsid w:val="004965CD"/>
    <w:rsid w:val="004A51C5"/>
    <w:rsid w:val="004A73B1"/>
    <w:rsid w:val="004B570A"/>
    <w:rsid w:val="004B5B27"/>
    <w:rsid w:val="004C1E33"/>
    <w:rsid w:val="004C4B5E"/>
    <w:rsid w:val="004D1801"/>
    <w:rsid w:val="004E3E1A"/>
    <w:rsid w:val="004F4016"/>
    <w:rsid w:val="004F4D10"/>
    <w:rsid w:val="004F573D"/>
    <w:rsid w:val="00507C11"/>
    <w:rsid w:val="00510BE2"/>
    <w:rsid w:val="00512386"/>
    <w:rsid w:val="00521785"/>
    <w:rsid w:val="005219FD"/>
    <w:rsid w:val="00527812"/>
    <w:rsid w:val="005332AE"/>
    <w:rsid w:val="00535A39"/>
    <w:rsid w:val="00544363"/>
    <w:rsid w:val="00550566"/>
    <w:rsid w:val="00551522"/>
    <w:rsid w:val="005563BA"/>
    <w:rsid w:val="00561CAE"/>
    <w:rsid w:val="005643FB"/>
    <w:rsid w:val="00585F82"/>
    <w:rsid w:val="005A0A4F"/>
    <w:rsid w:val="005A258A"/>
    <w:rsid w:val="005A7AFA"/>
    <w:rsid w:val="005B43C1"/>
    <w:rsid w:val="005C3954"/>
    <w:rsid w:val="005D08A4"/>
    <w:rsid w:val="005D2E51"/>
    <w:rsid w:val="005E01EA"/>
    <w:rsid w:val="005E335F"/>
    <w:rsid w:val="005E3A46"/>
    <w:rsid w:val="005F01FA"/>
    <w:rsid w:val="005F0F84"/>
    <w:rsid w:val="005F6D52"/>
    <w:rsid w:val="005F7698"/>
    <w:rsid w:val="005F77CC"/>
    <w:rsid w:val="00601DC6"/>
    <w:rsid w:val="006031E6"/>
    <w:rsid w:val="0061579B"/>
    <w:rsid w:val="00615936"/>
    <w:rsid w:val="00621760"/>
    <w:rsid w:val="00626B4E"/>
    <w:rsid w:val="0063166B"/>
    <w:rsid w:val="00633C9A"/>
    <w:rsid w:val="00633F22"/>
    <w:rsid w:val="00637B62"/>
    <w:rsid w:val="0064357E"/>
    <w:rsid w:val="00650B13"/>
    <w:rsid w:val="006601DF"/>
    <w:rsid w:val="00660A2F"/>
    <w:rsid w:val="00661C6B"/>
    <w:rsid w:val="00670C10"/>
    <w:rsid w:val="00670CDB"/>
    <w:rsid w:val="00672B63"/>
    <w:rsid w:val="0067495E"/>
    <w:rsid w:val="00681270"/>
    <w:rsid w:val="006873AE"/>
    <w:rsid w:val="00687F10"/>
    <w:rsid w:val="00691C69"/>
    <w:rsid w:val="00694147"/>
    <w:rsid w:val="006A632E"/>
    <w:rsid w:val="006B112D"/>
    <w:rsid w:val="006B53A0"/>
    <w:rsid w:val="006B689C"/>
    <w:rsid w:val="006C19E8"/>
    <w:rsid w:val="006C2F56"/>
    <w:rsid w:val="006C3776"/>
    <w:rsid w:val="006C3EEF"/>
    <w:rsid w:val="006C76FA"/>
    <w:rsid w:val="006C7778"/>
    <w:rsid w:val="006D2776"/>
    <w:rsid w:val="006D370C"/>
    <w:rsid w:val="006D46F6"/>
    <w:rsid w:val="006E0D71"/>
    <w:rsid w:val="006E6398"/>
    <w:rsid w:val="006F0254"/>
    <w:rsid w:val="006F1516"/>
    <w:rsid w:val="006F4C2E"/>
    <w:rsid w:val="006F50EA"/>
    <w:rsid w:val="006F745C"/>
    <w:rsid w:val="00704846"/>
    <w:rsid w:val="00707342"/>
    <w:rsid w:val="00720603"/>
    <w:rsid w:val="0072126C"/>
    <w:rsid w:val="00722069"/>
    <w:rsid w:val="00726D24"/>
    <w:rsid w:val="00730874"/>
    <w:rsid w:val="007325D0"/>
    <w:rsid w:val="00734C99"/>
    <w:rsid w:val="007524AC"/>
    <w:rsid w:val="007537D3"/>
    <w:rsid w:val="00753ADC"/>
    <w:rsid w:val="007561A8"/>
    <w:rsid w:val="0075792E"/>
    <w:rsid w:val="00761325"/>
    <w:rsid w:val="00763CA0"/>
    <w:rsid w:val="00764047"/>
    <w:rsid w:val="00766D24"/>
    <w:rsid w:val="00772FCF"/>
    <w:rsid w:val="00783465"/>
    <w:rsid w:val="007928A8"/>
    <w:rsid w:val="007962E5"/>
    <w:rsid w:val="007A0C82"/>
    <w:rsid w:val="007A103D"/>
    <w:rsid w:val="007A1084"/>
    <w:rsid w:val="007A554A"/>
    <w:rsid w:val="007A5BD8"/>
    <w:rsid w:val="007D15FE"/>
    <w:rsid w:val="007D3B21"/>
    <w:rsid w:val="007D3D7E"/>
    <w:rsid w:val="007D70B4"/>
    <w:rsid w:val="007E3F58"/>
    <w:rsid w:val="007F0BEC"/>
    <w:rsid w:val="007F1AA7"/>
    <w:rsid w:val="007F3F59"/>
    <w:rsid w:val="007F5830"/>
    <w:rsid w:val="007F69AD"/>
    <w:rsid w:val="008025F0"/>
    <w:rsid w:val="00802EAA"/>
    <w:rsid w:val="00804CCC"/>
    <w:rsid w:val="00806E7E"/>
    <w:rsid w:val="00811F98"/>
    <w:rsid w:val="0081702D"/>
    <w:rsid w:val="00821C7C"/>
    <w:rsid w:val="00834030"/>
    <w:rsid w:val="00834FE7"/>
    <w:rsid w:val="008415BD"/>
    <w:rsid w:val="0084168E"/>
    <w:rsid w:val="0085276F"/>
    <w:rsid w:val="008532D1"/>
    <w:rsid w:val="00867788"/>
    <w:rsid w:val="008772DC"/>
    <w:rsid w:val="008830C5"/>
    <w:rsid w:val="00883E92"/>
    <w:rsid w:val="008917A3"/>
    <w:rsid w:val="008B0C2E"/>
    <w:rsid w:val="008B71FE"/>
    <w:rsid w:val="008D4177"/>
    <w:rsid w:val="008D64DF"/>
    <w:rsid w:val="008E0726"/>
    <w:rsid w:val="008E17F5"/>
    <w:rsid w:val="008E4DA5"/>
    <w:rsid w:val="008F1FC0"/>
    <w:rsid w:val="008F2BB9"/>
    <w:rsid w:val="00903165"/>
    <w:rsid w:val="00920362"/>
    <w:rsid w:val="009225BE"/>
    <w:rsid w:val="009257EE"/>
    <w:rsid w:val="009331F5"/>
    <w:rsid w:val="00935B11"/>
    <w:rsid w:val="00954119"/>
    <w:rsid w:val="0095533D"/>
    <w:rsid w:val="00971915"/>
    <w:rsid w:val="009770C4"/>
    <w:rsid w:val="0098239C"/>
    <w:rsid w:val="00985752"/>
    <w:rsid w:val="009939C7"/>
    <w:rsid w:val="00996F3D"/>
    <w:rsid w:val="009A0794"/>
    <w:rsid w:val="009A66EF"/>
    <w:rsid w:val="009A7586"/>
    <w:rsid w:val="009B014D"/>
    <w:rsid w:val="009B543C"/>
    <w:rsid w:val="009C1104"/>
    <w:rsid w:val="009C20F1"/>
    <w:rsid w:val="009C3331"/>
    <w:rsid w:val="009C551C"/>
    <w:rsid w:val="009C678D"/>
    <w:rsid w:val="009D2239"/>
    <w:rsid w:val="009D501B"/>
    <w:rsid w:val="009D5056"/>
    <w:rsid w:val="009D5352"/>
    <w:rsid w:val="009E087D"/>
    <w:rsid w:val="009E0E1D"/>
    <w:rsid w:val="009E2214"/>
    <w:rsid w:val="009E4154"/>
    <w:rsid w:val="009E415D"/>
    <w:rsid w:val="009F189A"/>
    <w:rsid w:val="00A06884"/>
    <w:rsid w:val="00A102B7"/>
    <w:rsid w:val="00A12C7B"/>
    <w:rsid w:val="00A15138"/>
    <w:rsid w:val="00A15330"/>
    <w:rsid w:val="00A15C41"/>
    <w:rsid w:val="00A20F72"/>
    <w:rsid w:val="00A21210"/>
    <w:rsid w:val="00A304E5"/>
    <w:rsid w:val="00A44AA6"/>
    <w:rsid w:val="00A44F4C"/>
    <w:rsid w:val="00A451CB"/>
    <w:rsid w:val="00A46BB7"/>
    <w:rsid w:val="00A53F16"/>
    <w:rsid w:val="00A57F52"/>
    <w:rsid w:val="00A65765"/>
    <w:rsid w:val="00A67030"/>
    <w:rsid w:val="00A70C83"/>
    <w:rsid w:val="00A71220"/>
    <w:rsid w:val="00A860F5"/>
    <w:rsid w:val="00A86879"/>
    <w:rsid w:val="00A92EE4"/>
    <w:rsid w:val="00A945DB"/>
    <w:rsid w:val="00AA52D3"/>
    <w:rsid w:val="00AB1CB3"/>
    <w:rsid w:val="00AB7D57"/>
    <w:rsid w:val="00AC5E79"/>
    <w:rsid w:val="00AC609B"/>
    <w:rsid w:val="00AD0E82"/>
    <w:rsid w:val="00AD0EE0"/>
    <w:rsid w:val="00AD5858"/>
    <w:rsid w:val="00AE052C"/>
    <w:rsid w:val="00AE2FBE"/>
    <w:rsid w:val="00AE712A"/>
    <w:rsid w:val="00AF1745"/>
    <w:rsid w:val="00AF5C3F"/>
    <w:rsid w:val="00B03080"/>
    <w:rsid w:val="00B12C0C"/>
    <w:rsid w:val="00B26863"/>
    <w:rsid w:val="00B26A68"/>
    <w:rsid w:val="00B27A4D"/>
    <w:rsid w:val="00B34D3C"/>
    <w:rsid w:val="00B50362"/>
    <w:rsid w:val="00B51CC5"/>
    <w:rsid w:val="00B5217D"/>
    <w:rsid w:val="00B529AB"/>
    <w:rsid w:val="00B65037"/>
    <w:rsid w:val="00B665CE"/>
    <w:rsid w:val="00B66B6B"/>
    <w:rsid w:val="00B712D3"/>
    <w:rsid w:val="00B727A8"/>
    <w:rsid w:val="00B7309D"/>
    <w:rsid w:val="00B76AC3"/>
    <w:rsid w:val="00B77C69"/>
    <w:rsid w:val="00B82382"/>
    <w:rsid w:val="00B8366A"/>
    <w:rsid w:val="00B87AAF"/>
    <w:rsid w:val="00B92CAA"/>
    <w:rsid w:val="00B92E9C"/>
    <w:rsid w:val="00B93E54"/>
    <w:rsid w:val="00B951AA"/>
    <w:rsid w:val="00B96605"/>
    <w:rsid w:val="00BA2066"/>
    <w:rsid w:val="00BA4827"/>
    <w:rsid w:val="00BC0CB9"/>
    <w:rsid w:val="00BC5F9C"/>
    <w:rsid w:val="00BC6BAF"/>
    <w:rsid w:val="00BF3444"/>
    <w:rsid w:val="00C00EB4"/>
    <w:rsid w:val="00C01ED3"/>
    <w:rsid w:val="00C10C30"/>
    <w:rsid w:val="00C140C4"/>
    <w:rsid w:val="00C16308"/>
    <w:rsid w:val="00C202BE"/>
    <w:rsid w:val="00C263AD"/>
    <w:rsid w:val="00C27437"/>
    <w:rsid w:val="00C3004C"/>
    <w:rsid w:val="00C304DF"/>
    <w:rsid w:val="00C3061B"/>
    <w:rsid w:val="00C31E80"/>
    <w:rsid w:val="00C320F6"/>
    <w:rsid w:val="00C42AEF"/>
    <w:rsid w:val="00C45033"/>
    <w:rsid w:val="00C4753F"/>
    <w:rsid w:val="00C523CC"/>
    <w:rsid w:val="00C5638F"/>
    <w:rsid w:val="00C57FC4"/>
    <w:rsid w:val="00C60579"/>
    <w:rsid w:val="00C6367C"/>
    <w:rsid w:val="00C71937"/>
    <w:rsid w:val="00C74FDD"/>
    <w:rsid w:val="00C82378"/>
    <w:rsid w:val="00C82B4D"/>
    <w:rsid w:val="00C83AAF"/>
    <w:rsid w:val="00C8659C"/>
    <w:rsid w:val="00C9418F"/>
    <w:rsid w:val="00C9703F"/>
    <w:rsid w:val="00CB2C8F"/>
    <w:rsid w:val="00CC2436"/>
    <w:rsid w:val="00CC2710"/>
    <w:rsid w:val="00CC6E67"/>
    <w:rsid w:val="00CD012D"/>
    <w:rsid w:val="00CD2559"/>
    <w:rsid w:val="00CE47F3"/>
    <w:rsid w:val="00CE4A4B"/>
    <w:rsid w:val="00CE5D90"/>
    <w:rsid w:val="00CF0650"/>
    <w:rsid w:val="00CF127C"/>
    <w:rsid w:val="00CF38D1"/>
    <w:rsid w:val="00D01E3F"/>
    <w:rsid w:val="00D051BA"/>
    <w:rsid w:val="00D10366"/>
    <w:rsid w:val="00D11E02"/>
    <w:rsid w:val="00D22863"/>
    <w:rsid w:val="00D23031"/>
    <w:rsid w:val="00D35107"/>
    <w:rsid w:val="00D36FEC"/>
    <w:rsid w:val="00D411FA"/>
    <w:rsid w:val="00D429A7"/>
    <w:rsid w:val="00D4568E"/>
    <w:rsid w:val="00D50441"/>
    <w:rsid w:val="00D55F7B"/>
    <w:rsid w:val="00D6052F"/>
    <w:rsid w:val="00D611BB"/>
    <w:rsid w:val="00D62252"/>
    <w:rsid w:val="00D647C8"/>
    <w:rsid w:val="00D7252E"/>
    <w:rsid w:val="00D73287"/>
    <w:rsid w:val="00D73A07"/>
    <w:rsid w:val="00D76AC9"/>
    <w:rsid w:val="00D80F76"/>
    <w:rsid w:val="00D832A1"/>
    <w:rsid w:val="00D939D2"/>
    <w:rsid w:val="00DA1866"/>
    <w:rsid w:val="00DA3341"/>
    <w:rsid w:val="00DA4C52"/>
    <w:rsid w:val="00DA7724"/>
    <w:rsid w:val="00DB475E"/>
    <w:rsid w:val="00DB76ED"/>
    <w:rsid w:val="00DB7B12"/>
    <w:rsid w:val="00DC3052"/>
    <w:rsid w:val="00DC3492"/>
    <w:rsid w:val="00DD0B88"/>
    <w:rsid w:val="00DE21C1"/>
    <w:rsid w:val="00DE2799"/>
    <w:rsid w:val="00DE3E4C"/>
    <w:rsid w:val="00DE6947"/>
    <w:rsid w:val="00DF1CE5"/>
    <w:rsid w:val="00DF4E20"/>
    <w:rsid w:val="00DF6F89"/>
    <w:rsid w:val="00E0510A"/>
    <w:rsid w:val="00E0700A"/>
    <w:rsid w:val="00E136AD"/>
    <w:rsid w:val="00E15ED1"/>
    <w:rsid w:val="00E2316B"/>
    <w:rsid w:val="00E3113C"/>
    <w:rsid w:val="00E31ABB"/>
    <w:rsid w:val="00E31ED8"/>
    <w:rsid w:val="00E45496"/>
    <w:rsid w:val="00E47550"/>
    <w:rsid w:val="00E52554"/>
    <w:rsid w:val="00E54F78"/>
    <w:rsid w:val="00E5788F"/>
    <w:rsid w:val="00E6404D"/>
    <w:rsid w:val="00E641C7"/>
    <w:rsid w:val="00E64A7B"/>
    <w:rsid w:val="00E8216A"/>
    <w:rsid w:val="00E9044F"/>
    <w:rsid w:val="00E9194F"/>
    <w:rsid w:val="00E95D01"/>
    <w:rsid w:val="00EA14CD"/>
    <w:rsid w:val="00EA1825"/>
    <w:rsid w:val="00EA39B6"/>
    <w:rsid w:val="00EC6608"/>
    <w:rsid w:val="00ED25A4"/>
    <w:rsid w:val="00ED4E69"/>
    <w:rsid w:val="00ED6091"/>
    <w:rsid w:val="00EE16BA"/>
    <w:rsid w:val="00EE4047"/>
    <w:rsid w:val="00EE727B"/>
    <w:rsid w:val="00EF35EE"/>
    <w:rsid w:val="00EF37CA"/>
    <w:rsid w:val="00EF3961"/>
    <w:rsid w:val="00EF4966"/>
    <w:rsid w:val="00F03E77"/>
    <w:rsid w:val="00F05A9C"/>
    <w:rsid w:val="00F06A80"/>
    <w:rsid w:val="00F24399"/>
    <w:rsid w:val="00F2471D"/>
    <w:rsid w:val="00F27108"/>
    <w:rsid w:val="00F3206E"/>
    <w:rsid w:val="00F33A66"/>
    <w:rsid w:val="00F343BC"/>
    <w:rsid w:val="00F36152"/>
    <w:rsid w:val="00F43E84"/>
    <w:rsid w:val="00F4404A"/>
    <w:rsid w:val="00F4436C"/>
    <w:rsid w:val="00F4527E"/>
    <w:rsid w:val="00F51DD1"/>
    <w:rsid w:val="00F6137A"/>
    <w:rsid w:val="00F631FB"/>
    <w:rsid w:val="00F641D2"/>
    <w:rsid w:val="00F66C4B"/>
    <w:rsid w:val="00F66F0A"/>
    <w:rsid w:val="00F67A35"/>
    <w:rsid w:val="00F745CE"/>
    <w:rsid w:val="00F759B5"/>
    <w:rsid w:val="00F82164"/>
    <w:rsid w:val="00F85ED1"/>
    <w:rsid w:val="00F877CB"/>
    <w:rsid w:val="00F90E19"/>
    <w:rsid w:val="00F9289B"/>
    <w:rsid w:val="00FA5144"/>
    <w:rsid w:val="00FA5617"/>
    <w:rsid w:val="00FB0471"/>
    <w:rsid w:val="00FB174E"/>
    <w:rsid w:val="00FC0797"/>
    <w:rsid w:val="00FC1A6E"/>
    <w:rsid w:val="00FC2DF9"/>
    <w:rsid w:val="00FC471A"/>
    <w:rsid w:val="00FC5249"/>
    <w:rsid w:val="00FE374E"/>
    <w:rsid w:val="00FE4BA0"/>
    <w:rsid w:val="00FF4274"/>
    <w:rsid w:val="00FF4EAF"/>
    <w:rsid w:val="00FF505C"/>
    <w:rsid w:val="00FF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49"/>
    <o:shapelayout v:ext="edit">
      <o:idmap v:ext="edit" data="1"/>
    </o:shapelayout>
  </w:shapeDefaults>
  <w:decimalSymbol w:val="."/>
  <w:listSeparator w:val=","/>
  <w14:docId w14:val="25B16A68"/>
  <w15:chartTrackingRefBased/>
  <w15:docId w15:val="{57C52037-C359-44CF-BEF4-B11CDAAF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szCs w:val="24"/>
    </w:rPr>
  </w:style>
  <w:style w:type="paragraph" w:styleId="Heading1">
    <w:name w:val="heading 1"/>
    <w:basedOn w:val="Normal"/>
    <w:next w:val="Normal"/>
    <w:qFormat/>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ind w:left="720"/>
      <w:outlineLvl w:val="5"/>
    </w:pPr>
    <w:rPr>
      <w:i/>
      <w:szCs w:val="20"/>
    </w:rPr>
  </w:style>
  <w:style w:type="paragraph" w:styleId="Heading7">
    <w:name w:val="heading 7"/>
    <w:basedOn w:val="Normal"/>
    <w:next w:val="Normal"/>
    <w:qFormat/>
    <w:pPr>
      <w:keepNext/>
      <w:tabs>
        <w:tab w:val="left" w:pos="-1440"/>
      </w:tabs>
      <w:outlineLvl w:val="6"/>
    </w:pPr>
    <w:rPr>
      <w:i/>
      <w:iCs/>
      <w:szCs w:val="20"/>
    </w:rPr>
  </w:style>
  <w:style w:type="paragraph" w:styleId="Heading8">
    <w:name w:val="heading 8"/>
    <w:basedOn w:val="Normal"/>
    <w:next w:val="Normal"/>
    <w:qFormat/>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pPr>
      <w:widowControl w:val="0"/>
      <w:autoSpaceDE w:val="0"/>
      <w:autoSpaceDN w:val="0"/>
      <w:adjustRightInd w:val="0"/>
    </w:pPr>
    <w:rPr>
      <w:rFonts w:ascii="Tahoma" w:hAnsi="Tahoma" w:cs="Tahoma"/>
      <w:sz w:val="16"/>
      <w:szCs w:val="16"/>
    </w:rPr>
  </w:style>
  <w:style w:type="character" w:customStyle="1" w:styleId="TEST2">
    <w:name w:val="TEST2"/>
    <w:rPr>
      <w:b/>
      <w:bCs/>
      <w:sz w:val="30"/>
      <w:szCs w:val="30"/>
    </w:rPr>
  </w:style>
  <w:style w:type="character" w:customStyle="1" w:styleId="CS-2">
    <w:name w:val="CS-2"/>
    <w:rPr>
      <w:b/>
      <w:bCs/>
    </w:rPr>
  </w:style>
  <w:style w:type="paragraph" w:customStyle="1" w:styleId="Level1">
    <w:name w:val="Level 1"/>
    <w:basedOn w:val="Normal"/>
    <w:pPr>
      <w:widowControl w:val="0"/>
      <w:numPr>
        <w:numId w:val="1"/>
      </w:numPr>
      <w:autoSpaceDE w:val="0"/>
      <w:autoSpaceDN w:val="0"/>
      <w:adjustRightInd w:val="0"/>
      <w:ind w:left="720" w:hanging="720"/>
      <w:outlineLvl w:val="0"/>
    </w:pPr>
  </w:style>
  <w:style w:type="paragraph" w:customStyle="1" w:styleId="Bullet1">
    <w:name w:val="Bullet 1"/>
    <w:basedOn w:val="Normal"/>
    <w:pPr>
      <w:numPr>
        <w:numId w:val="11"/>
      </w:numPr>
    </w:pPr>
    <w:rPr>
      <w:szCs w:val="20"/>
    </w:rPr>
  </w:style>
  <w:style w:type="paragraph" w:styleId="BodyTextIndent">
    <w:name w:val="Body Text Indent"/>
    <w:basedOn w:val="Normal"/>
    <w:pPr>
      <w:tabs>
        <w:tab w:val="right" w:leader="dot" w:pos="9360"/>
      </w:tabs>
      <w:autoSpaceDE w:val="0"/>
      <w:autoSpaceDN w:val="0"/>
      <w:adjustRightInd w:val="0"/>
      <w:ind w:left="2340" w:firstLine="720"/>
    </w:pPr>
  </w:style>
  <w:style w:type="paragraph" w:styleId="BodyTextIndent3">
    <w:name w:val="Body Text Indent 3"/>
    <w:basedOn w:val="Normal"/>
    <w:pPr>
      <w:tabs>
        <w:tab w:val="left" w:pos="8460"/>
      </w:tabs>
      <w:autoSpaceDE w:val="0"/>
      <w:autoSpaceDN w:val="0"/>
      <w:adjustRightInd w:val="0"/>
      <w:ind w:left="2340" w:hanging="900"/>
    </w:pPr>
  </w:style>
  <w:style w:type="paragraph" w:styleId="BodyTextIndent2">
    <w:name w:val="Body Text Indent 2"/>
    <w:basedOn w:val="Normal"/>
    <w:pPr>
      <w:autoSpaceDE w:val="0"/>
      <w:autoSpaceDN w:val="0"/>
      <w:adjustRightInd w:val="0"/>
      <w:ind w:left="2160" w:hanging="720"/>
    </w:pPr>
  </w:style>
  <w:style w:type="paragraph" w:styleId="Header">
    <w:name w:val="header"/>
    <w:basedOn w:val="Normal"/>
    <w:pPr>
      <w:widowControl w:val="0"/>
      <w:tabs>
        <w:tab w:val="center" w:pos="4320"/>
        <w:tab w:val="right" w:pos="8640"/>
      </w:tabs>
      <w:autoSpaceDE w:val="0"/>
      <w:autoSpaceDN w:val="0"/>
      <w:adjustRightInd w:val="0"/>
    </w:pPr>
  </w:style>
  <w:style w:type="paragraph" w:styleId="BodyText">
    <w:name w:val="Body Text"/>
    <w:basedOn w:val="Normal"/>
  </w:style>
  <w:style w:type="paragraph" w:styleId="ListBullet3">
    <w:name w:val="List Bullet 3"/>
    <w:basedOn w:val="Normal"/>
    <w:autoRedefine/>
    <w:pPr>
      <w:widowControl w:val="0"/>
      <w:numPr>
        <w:numId w:val="3"/>
      </w:numPr>
      <w:autoSpaceDE w:val="0"/>
      <w:autoSpaceDN w:val="0"/>
      <w:adjustRightInd w:val="0"/>
    </w:pPr>
  </w:style>
  <w:style w:type="paragraph" w:styleId="ListBullet2">
    <w:name w:val="List Bullet 2"/>
    <w:basedOn w:val="Normal"/>
    <w:autoRedefine/>
    <w:pPr>
      <w:keepNext/>
      <w:keepLines/>
      <w:autoSpaceDE w:val="0"/>
      <w:autoSpaceDN w:val="0"/>
      <w:adjustRightInd w:val="0"/>
      <w:ind w:left="3600" w:hanging="720"/>
    </w:pPr>
  </w:style>
  <w:style w:type="character" w:styleId="Strong">
    <w:name w:val="Strong"/>
    <w:qFormat/>
    <w:rPr>
      <w:b/>
      <w:bCs/>
    </w:rPr>
  </w:style>
  <w:style w:type="paragraph" w:styleId="Title">
    <w:name w:val="Title"/>
    <w:basedOn w:val="Normal"/>
    <w:qFormat/>
    <w:pPr>
      <w:autoSpaceDE w:val="0"/>
      <w:autoSpaceDN w:val="0"/>
      <w:adjustRightInd w:val="0"/>
      <w:jc w:val="center"/>
    </w:pPr>
    <w:rPr>
      <w:b/>
      <w:bCs/>
    </w:rPr>
  </w:style>
  <w:style w:type="paragraph" w:customStyle="1" w:styleId="QuickA">
    <w:name w:val="Quick A."/>
    <w:basedOn w:val="Normal"/>
    <w:pPr>
      <w:widowControl w:val="0"/>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BodyTextIn">
    <w:name w:val="Body Text In"/>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pPr>
      <w:numPr>
        <w:numId w:val="2"/>
      </w:numPr>
      <w:autoSpaceDE w:val="0"/>
      <w:autoSpaceDN w:val="0"/>
      <w:adjustRightInd w:val="0"/>
    </w:pPr>
  </w:style>
  <w:style w:type="paragraph" w:styleId="ListBullet4">
    <w:name w:val="List Bullet 4"/>
    <w:basedOn w:val="Normal"/>
    <w:autoRedefine/>
    <w:pPr>
      <w:numPr>
        <w:numId w:val="4"/>
      </w:numPr>
      <w:autoSpaceDE w:val="0"/>
      <w:autoSpaceDN w:val="0"/>
      <w:adjustRightInd w:val="0"/>
    </w:pPr>
  </w:style>
  <w:style w:type="paragraph" w:styleId="ListBullet5">
    <w:name w:val="List Bullet 5"/>
    <w:basedOn w:val="Normal"/>
    <w:autoRedefine/>
    <w:pPr>
      <w:numPr>
        <w:numId w:val="5"/>
      </w:numPr>
      <w:autoSpaceDE w:val="0"/>
      <w:autoSpaceDN w:val="0"/>
      <w:adjustRightInd w:val="0"/>
    </w:pPr>
  </w:style>
  <w:style w:type="paragraph" w:styleId="ListNumber">
    <w:name w:val="List Number"/>
    <w:basedOn w:val="Normal"/>
    <w:pPr>
      <w:numPr>
        <w:numId w:val="6"/>
      </w:numPr>
      <w:autoSpaceDE w:val="0"/>
      <w:autoSpaceDN w:val="0"/>
      <w:adjustRightInd w:val="0"/>
    </w:pPr>
  </w:style>
  <w:style w:type="paragraph" w:styleId="ListNumber2">
    <w:name w:val="List Number 2"/>
    <w:basedOn w:val="Normal"/>
    <w:pPr>
      <w:numPr>
        <w:numId w:val="7"/>
      </w:numPr>
      <w:autoSpaceDE w:val="0"/>
      <w:autoSpaceDN w:val="0"/>
      <w:adjustRightInd w:val="0"/>
    </w:pPr>
  </w:style>
  <w:style w:type="paragraph" w:styleId="ListNumber3">
    <w:name w:val="List Number 3"/>
    <w:basedOn w:val="Normal"/>
    <w:pPr>
      <w:numPr>
        <w:numId w:val="8"/>
      </w:numPr>
      <w:autoSpaceDE w:val="0"/>
      <w:autoSpaceDN w:val="0"/>
      <w:adjustRightInd w:val="0"/>
    </w:pPr>
  </w:style>
  <w:style w:type="paragraph" w:styleId="ListNumber4">
    <w:name w:val="List Number 4"/>
    <w:basedOn w:val="Normal"/>
    <w:pPr>
      <w:numPr>
        <w:numId w:val="9"/>
      </w:numPr>
      <w:autoSpaceDE w:val="0"/>
      <w:autoSpaceDN w:val="0"/>
      <w:adjustRightInd w:val="0"/>
    </w:pPr>
  </w:style>
  <w:style w:type="paragraph" w:styleId="ListNumber5">
    <w:name w:val="List Number 5"/>
    <w:basedOn w:val="Normal"/>
    <w:pPr>
      <w:numPr>
        <w:numId w:val="10"/>
      </w:numPr>
      <w:autoSpaceDE w:val="0"/>
      <w:autoSpaceDN w:val="0"/>
      <w:adjustRightInd w:val="0"/>
    </w:pPr>
  </w:style>
  <w:style w:type="paragraph" w:styleId="NormalWeb">
    <w:name w:val="Normal (Web)"/>
    <w:basedOn w:val="Normal"/>
    <w:pPr>
      <w:spacing w:before="100" w:beforeAutospacing="1" w:after="100" w:afterAutospacing="1"/>
    </w:pPr>
    <w:rPr>
      <w:color w:val="000000"/>
    </w:rPr>
  </w:style>
  <w:style w:type="paragraph" w:styleId="BodyText2">
    <w:name w:val="Body Text 2"/>
    <w:basedOn w:val="Normal"/>
    <w:pPr>
      <w:autoSpaceDE w:val="0"/>
      <w:autoSpaceDN w:val="0"/>
      <w:adjustRightInd w:val="0"/>
    </w:pPr>
    <w:rPr>
      <w:b/>
      <w:bCs/>
      <w:u w:val="single"/>
    </w:rPr>
  </w:style>
  <w:style w:type="paragraph" w:styleId="Date">
    <w:name w:val="Date"/>
    <w:basedOn w:val="Normal"/>
    <w:next w:val="Normal"/>
    <w:pPr>
      <w:autoSpaceDE w:val="0"/>
      <w:autoSpaceDN w:val="0"/>
      <w:adjustRightInd w:val="0"/>
    </w:pPr>
  </w:style>
  <w:style w:type="paragraph" w:styleId="CommentText">
    <w:name w:val="annotation text"/>
    <w:basedOn w:val="Normal"/>
    <w:semiHidden/>
    <w:pPr>
      <w:autoSpaceDE w:val="0"/>
      <w:autoSpaceDN w:val="0"/>
      <w:adjustRightInd w:val="0"/>
    </w:pPr>
    <w:rPr>
      <w:sz w:val="20"/>
      <w:szCs w:val="20"/>
    </w:rPr>
  </w:style>
  <w:style w:type="paragraph" w:customStyle="1" w:styleId="Quick">
    <w:name w:val="Quick ­"/>
    <w:basedOn w:val="Normal"/>
    <w:pPr>
      <w:widowControl w:val="0"/>
      <w:autoSpaceDE w:val="0"/>
      <w:autoSpaceDN w:val="0"/>
      <w:adjustRightInd w:val="0"/>
      <w:spacing w:after="0"/>
      <w:ind w:left="2160" w:hanging="720"/>
    </w:pPr>
    <w:rPr>
      <w:rFonts w:ascii="Courier" w:hAnsi="Courier"/>
    </w:rPr>
  </w:style>
  <w:style w:type="character" w:styleId="FootnoteReference">
    <w:name w:val="footnote reference"/>
    <w:semiHidden/>
  </w:style>
  <w:style w:type="paragraph" w:customStyle="1" w:styleId="Style">
    <w:name w:val="Style"/>
    <w:basedOn w:val="Normal"/>
    <w:pPr>
      <w:tabs>
        <w:tab w:val="left" w:pos="-1440"/>
        <w:tab w:val="left" w:pos="1080"/>
      </w:tabs>
      <w:autoSpaceDE w:val="0"/>
      <w:autoSpaceDN w:val="0"/>
      <w:adjustRightInd w:val="0"/>
      <w:spacing w:after="0"/>
      <w:ind w:left="1080" w:hanging="360"/>
    </w:pPr>
  </w:style>
  <w:style w:type="paragraph" w:customStyle="1" w:styleId="Quick0">
    <w:name w:val="Quick ·"/>
    <w:basedOn w:val="Normal"/>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pPr>
      <w:widowControl w:val="0"/>
      <w:autoSpaceDE w:val="0"/>
      <w:autoSpaceDN w:val="0"/>
      <w:adjustRightInd w:val="0"/>
      <w:spacing w:after="0"/>
      <w:ind w:left="1440" w:hanging="720"/>
    </w:pPr>
  </w:style>
  <w:style w:type="character" w:customStyle="1" w:styleId="Title2">
    <w:name w:val="Title2"/>
    <w:rPr>
      <w:rFonts w:ascii="Times New Roman" w:hAnsi="Times New Roman" w:cs="Times New Roman"/>
      <w:b/>
      <w:bCs/>
      <w:sz w:val="28"/>
      <w:szCs w:val="28"/>
    </w:rPr>
  </w:style>
  <w:style w:type="paragraph" w:styleId="FootnoteText">
    <w:name w:val="footnote text"/>
    <w:basedOn w:val="Normal"/>
    <w:semiHidden/>
    <w:pPr>
      <w:widowControl w:val="0"/>
      <w:autoSpaceDE w:val="0"/>
      <w:autoSpaceDN w:val="0"/>
      <w:adjustRightInd w:val="0"/>
      <w:spacing w:after="0"/>
    </w:pPr>
    <w:rPr>
      <w:sz w:val="20"/>
      <w:szCs w:val="20"/>
    </w:rPr>
  </w:style>
  <w:style w:type="paragraph" w:styleId="NormalIndent">
    <w:name w:val="Normal Indent"/>
    <w:basedOn w:val="Normal"/>
    <w:pPr>
      <w:ind w:left="72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style>
  <w:style w:type="paragraph" w:styleId="DocumentMap">
    <w:name w:val="Document Map"/>
    <w:basedOn w:val="Normal"/>
    <w:semiHidden/>
    <w:rsid w:val="00270B8B"/>
    <w:pPr>
      <w:shd w:val="clear" w:color="auto" w:fill="000080"/>
    </w:pPr>
    <w:rPr>
      <w:rFonts w:ascii="Tahoma" w:hAnsi="Tahoma" w:cs="Tahoma"/>
      <w:sz w:val="20"/>
      <w:szCs w:val="20"/>
    </w:rPr>
  </w:style>
  <w:style w:type="character" w:styleId="FollowedHyperlink">
    <w:name w:val="FollowedHyperlink"/>
    <w:rsid w:val="0032779F"/>
    <w:rPr>
      <w:color w:val="800080"/>
      <w:u w:val="single"/>
    </w:rPr>
  </w:style>
  <w:style w:type="character" w:styleId="CommentReference">
    <w:name w:val="annotation reference"/>
    <w:semiHidden/>
    <w:rsid w:val="0016672E"/>
    <w:rPr>
      <w:sz w:val="16"/>
      <w:szCs w:val="16"/>
    </w:rPr>
  </w:style>
  <w:style w:type="paragraph" w:styleId="PlainText">
    <w:name w:val="Plain Text"/>
    <w:basedOn w:val="Normal"/>
    <w:rsid w:val="00A06884"/>
    <w:pPr>
      <w:spacing w:after="0"/>
    </w:pPr>
    <w:rPr>
      <w:rFonts w:ascii="Courier New" w:hAnsi="Courier New"/>
      <w:sz w:val="20"/>
      <w:szCs w:val="20"/>
    </w:rPr>
  </w:style>
  <w:style w:type="paragraph" w:styleId="HTMLPreformatted">
    <w:name w:val="HTML Preformatted"/>
    <w:basedOn w:val="Normal"/>
    <w:rsid w:val="00A0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paragraph" w:styleId="BlockText">
    <w:name w:val="Block Text"/>
    <w:basedOn w:val="Normal"/>
    <w:rsid w:val="00A06884"/>
    <w:pPr>
      <w:ind w:left="720" w:right="720"/>
    </w:pPr>
  </w:style>
  <w:style w:type="paragraph" w:customStyle="1" w:styleId="BodyText1">
    <w:name w:val="Body Text 1"/>
    <w:basedOn w:val="Normal"/>
    <w:rsid w:val="00A06884"/>
    <w:pPr>
      <w:tabs>
        <w:tab w:val="left" w:pos="-90"/>
        <w:tab w:val="left" w:pos="720"/>
        <w:tab w:val="left" w:pos="1260"/>
      </w:tabs>
      <w:spacing w:after="0" w:line="320" w:lineRule="exact"/>
    </w:pPr>
    <w:rPr>
      <w:szCs w:val="20"/>
    </w:rPr>
  </w:style>
  <w:style w:type="paragraph" w:styleId="CommentSubject">
    <w:name w:val="annotation subject"/>
    <w:basedOn w:val="CommentText"/>
    <w:next w:val="CommentText"/>
    <w:semiHidden/>
    <w:rsid w:val="004965CD"/>
    <w:pPr>
      <w:autoSpaceDE/>
      <w:autoSpaceDN/>
      <w:adjustRightInd/>
    </w:pPr>
    <w:rPr>
      <w:b/>
      <w:bCs/>
    </w:rPr>
  </w:style>
  <w:style w:type="paragraph" w:customStyle="1" w:styleId="Outlinelevel5">
    <w:name w:val="Outline level 5"/>
    <w:basedOn w:val="BodyText"/>
    <w:rsid w:val="004965CD"/>
    <w:pPr>
      <w:numPr>
        <w:ilvl w:val="4"/>
        <w:numId w:val="12"/>
      </w:numPr>
      <w:tabs>
        <w:tab w:val="left" w:pos="2592"/>
      </w:tabs>
    </w:pPr>
    <w:rPr>
      <w:szCs w:val="20"/>
    </w:rPr>
  </w:style>
  <w:style w:type="paragraph" w:customStyle="1" w:styleId="Outline1">
    <w:name w:val="Outline 1"/>
    <w:basedOn w:val="BodyText"/>
    <w:rsid w:val="004965CD"/>
    <w:pPr>
      <w:numPr>
        <w:numId w:val="12"/>
      </w:numPr>
      <w:tabs>
        <w:tab w:val="left" w:pos="504"/>
      </w:tabs>
    </w:pPr>
    <w:rPr>
      <w:szCs w:val="20"/>
    </w:rPr>
  </w:style>
  <w:style w:type="paragraph" w:customStyle="1" w:styleId="Outlinea">
    <w:name w:val="Outline a"/>
    <w:basedOn w:val="BodyText"/>
    <w:link w:val="OutlineaChar"/>
    <w:rsid w:val="004965CD"/>
    <w:pPr>
      <w:numPr>
        <w:ilvl w:val="3"/>
        <w:numId w:val="12"/>
      </w:numPr>
      <w:tabs>
        <w:tab w:val="clear" w:pos="1764"/>
        <w:tab w:val="num" w:pos="900"/>
        <w:tab w:val="left" w:pos="1008"/>
      </w:tabs>
      <w:ind w:left="900" w:hanging="360"/>
    </w:pPr>
    <w:rPr>
      <w:szCs w:val="20"/>
    </w:rPr>
  </w:style>
  <w:style w:type="character" w:customStyle="1" w:styleId="OutlineaChar">
    <w:name w:val="Outline a Char"/>
    <w:link w:val="Outlinea"/>
    <w:rsid w:val="004965CD"/>
    <w:rPr>
      <w:sz w:val="24"/>
      <w:lang w:val="en-US" w:eastAsia="en-US" w:bidi="ar-SA"/>
    </w:rPr>
  </w:style>
  <w:style w:type="paragraph" w:customStyle="1" w:styleId="Outline10">
    <w:name w:val="Outline (1)"/>
    <w:basedOn w:val="BodyText"/>
    <w:rsid w:val="004965CD"/>
    <w:pPr>
      <w:numPr>
        <w:ilvl w:val="2"/>
        <w:numId w:val="12"/>
      </w:numPr>
      <w:tabs>
        <w:tab w:val="left" w:pos="1584"/>
      </w:tabs>
    </w:pPr>
    <w:rPr>
      <w:szCs w:val="20"/>
    </w:rPr>
  </w:style>
  <w:style w:type="character" w:styleId="Emphasis">
    <w:name w:val="Emphasis"/>
    <w:qFormat/>
    <w:rsid w:val="004965CD"/>
    <w:rPr>
      <w:i/>
      <w:iCs/>
    </w:rPr>
  </w:style>
  <w:style w:type="paragraph" w:customStyle="1" w:styleId="Outline1Char">
    <w:name w:val="Outline (1) Char"/>
    <w:basedOn w:val="BodyText"/>
    <w:rsid w:val="004965CD"/>
    <w:pPr>
      <w:tabs>
        <w:tab w:val="num" w:pos="1152"/>
        <w:tab w:val="left" w:pos="1584"/>
      </w:tabs>
      <w:ind w:left="1152" w:hanging="432"/>
    </w:pPr>
    <w:rPr>
      <w:szCs w:val="20"/>
    </w:rPr>
  </w:style>
  <w:style w:type="paragraph" w:customStyle="1" w:styleId="Outlinea0">
    <w:name w:val="Outline (a)"/>
    <w:basedOn w:val="BodyText"/>
    <w:rsid w:val="004965CD"/>
    <w:pPr>
      <w:tabs>
        <w:tab w:val="num" w:pos="1584"/>
        <w:tab w:val="left" w:pos="2160"/>
      </w:tabs>
      <w:ind w:left="1584" w:hanging="432"/>
    </w:pPr>
    <w:rPr>
      <w:szCs w:val="20"/>
    </w:rPr>
  </w:style>
  <w:style w:type="paragraph" w:customStyle="1" w:styleId="Outlinelevel6">
    <w:name w:val="Outline level 6"/>
    <w:basedOn w:val="BodyText"/>
    <w:rsid w:val="004965CD"/>
    <w:pPr>
      <w:tabs>
        <w:tab w:val="num" w:pos="2304"/>
        <w:tab w:val="left" w:pos="3024"/>
      </w:tabs>
      <w:ind w:left="2304" w:hanging="360"/>
    </w:pPr>
    <w:rPr>
      <w:szCs w:val="20"/>
    </w:rPr>
  </w:style>
  <w:style w:type="character" w:customStyle="1" w:styleId="OutlineaCharChar">
    <w:name w:val="Outline a Char Char"/>
    <w:rsid w:val="004965CD"/>
    <w:rPr>
      <w:sz w:val="24"/>
      <w:lang w:val="en-US" w:eastAsia="en-US" w:bidi="ar-SA"/>
    </w:rPr>
  </w:style>
  <w:style w:type="paragraph" w:styleId="Subtitle">
    <w:name w:val="Subtitle"/>
    <w:basedOn w:val="Normal"/>
    <w:qFormat/>
    <w:rsid w:val="00F4436C"/>
    <w:pPr>
      <w:spacing w:after="0"/>
      <w:ind w:left="-720"/>
    </w:pPr>
    <w:rPr>
      <w:b/>
      <w:bCs/>
    </w:rPr>
  </w:style>
  <w:style w:type="character" w:customStyle="1" w:styleId="msoins0">
    <w:name w:val="msoins0"/>
    <w:basedOn w:val="DefaultParagraphFont"/>
    <w:rsid w:val="00F4436C"/>
  </w:style>
  <w:style w:type="character" w:customStyle="1" w:styleId="Subhead">
    <w:name w:val="Subhead"/>
    <w:rsid w:val="00F4436C"/>
    <w:rPr>
      <w:b/>
      <w:bCs/>
      <w:u w:val="single"/>
    </w:rPr>
  </w:style>
  <w:style w:type="character" w:customStyle="1" w:styleId="style31">
    <w:name w:val="style31"/>
    <w:rsid w:val="00F4436C"/>
    <w:rPr>
      <w:rFonts w:ascii="Times New Roman" w:hAnsi="Times New Roman" w:cs="Times New Roman" w:hint="default"/>
      <w:sz w:val="27"/>
      <w:szCs w:val="27"/>
    </w:rPr>
  </w:style>
  <w:style w:type="table" w:styleId="TableGrid">
    <w:name w:val="Table Grid"/>
    <w:basedOn w:val="TableNormal"/>
    <w:uiPriority w:val="59"/>
    <w:rsid w:val="008F1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F1FC0"/>
    <w:pPr>
      <w:autoSpaceDE w:val="0"/>
      <w:autoSpaceDN w:val="0"/>
      <w:spacing w:after="0"/>
    </w:pPr>
    <w:rPr>
      <w:color w:val="000000"/>
    </w:rPr>
  </w:style>
  <w:style w:type="paragraph" w:customStyle="1" w:styleId="Default0">
    <w:name w:val="Default"/>
    <w:rsid w:val="00E136AD"/>
    <w:pPr>
      <w:autoSpaceDE w:val="0"/>
      <w:autoSpaceDN w:val="0"/>
      <w:adjustRightInd w:val="0"/>
    </w:pPr>
    <w:rPr>
      <w:color w:val="000000"/>
      <w:sz w:val="24"/>
      <w:szCs w:val="24"/>
    </w:rPr>
  </w:style>
  <w:style w:type="paragraph" w:customStyle="1" w:styleId="table-rightside">
    <w:name w:val="table-right side"/>
    <w:basedOn w:val="Normal"/>
    <w:link w:val="table-rightsideChar"/>
    <w:rsid w:val="009C678D"/>
    <w:pPr>
      <w:tabs>
        <w:tab w:val="left" w:pos="1080"/>
      </w:tabs>
      <w:spacing w:before="160" w:after="0" w:line="360" w:lineRule="atLeast"/>
      <w:ind w:left="540" w:hanging="540"/>
      <w:jc w:val="both"/>
    </w:pPr>
    <w:rPr>
      <w:rFonts w:ascii="Palatino" w:hAnsi="Palatino"/>
      <w:sz w:val="22"/>
      <w:szCs w:val="20"/>
    </w:rPr>
  </w:style>
  <w:style w:type="character" w:customStyle="1" w:styleId="table-rightsideChar">
    <w:name w:val="table-right side Char"/>
    <w:link w:val="table-rightside"/>
    <w:rsid w:val="009C678D"/>
    <w:rPr>
      <w:rFonts w:ascii="Palatino" w:hAnsi="Palatino"/>
      <w:sz w:val="22"/>
      <w:lang w:val="en-US" w:eastAsia="en-US" w:bidi="ar-SA"/>
    </w:rPr>
  </w:style>
  <w:style w:type="paragraph" w:customStyle="1" w:styleId="-1stline1stindent">
    <w:name w:val="•-1st line (1st indent)"/>
    <w:basedOn w:val="Normal"/>
    <w:next w:val="Normal"/>
    <w:rsid w:val="00FF505C"/>
    <w:pPr>
      <w:spacing w:before="120" w:after="0" w:line="360" w:lineRule="atLeast"/>
      <w:ind w:left="980" w:hanging="540"/>
      <w:jc w:val="both"/>
    </w:pPr>
    <w:rPr>
      <w:rFonts w:ascii="Palatino" w:hAnsi="Palatino"/>
      <w:sz w:val="22"/>
      <w:szCs w:val="20"/>
    </w:rPr>
  </w:style>
  <w:style w:type="paragraph" w:customStyle="1" w:styleId="pa10">
    <w:name w:val="pa10"/>
    <w:basedOn w:val="Normal"/>
    <w:rsid w:val="005A258A"/>
    <w:pPr>
      <w:autoSpaceDE w:val="0"/>
      <w:autoSpaceDN w:val="0"/>
      <w:spacing w:after="0"/>
    </w:pPr>
    <w:rPr>
      <w:rFonts w:ascii="ITC Franklin Gothic Std Bk Cd" w:hAnsi="ITC Franklin Gothic Std Bk Cd"/>
    </w:rPr>
  </w:style>
  <w:style w:type="character" w:customStyle="1" w:styleId="NoSpacingChar">
    <w:name w:val="No Spacing Char"/>
    <w:basedOn w:val="DefaultParagraphFont"/>
    <w:link w:val="NoSpacing"/>
    <w:uiPriority w:val="1"/>
    <w:locked/>
    <w:rsid w:val="00191FC2"/>
  </w:style>
  <w:style w:type="paragraph" w:styleId="NoSpacing">
    <w:name w:val="No Spacing"/>
    <w:link w:val="NoSpacingChar"/>
    <w:uiPriority w:val="1"/>
    <w:qFormat/>
    <w:rsid w:val="00191FC2"/>
  </w:style>
  <w:style w:type="paragraph" w:styleId="ListParagraph">
    <w:name w:val="List Paragraph"/>
    <w:basedOn w:val="Normal"/>
    <w:link w:val="ListParagraphChar"/>
    <w:uiPriority w:val="34"/>
    <w:qFormat/>
    <w:rsid w:val="00191FC2"/>
    <w:pPr>
      <w:spacing w:after="0"/>
      <w:ind w:left="720"/>
    </w:pPr>
    <w:rPr>
      <w:rFonts w:ascii="Calibri" w:eastAsia="MS PGothic" w:hAnsi="Calibri" w:cs="Calibri"/>
      <w:sz w:val="22"/>
      <w:szCs w:val="22"/>
      <w:lang w:eastAsia="ja-JP"/>
    </w:rPr>
  </w:style>
  <w:style w:type="paragraph" w:styleId="Revision">
    <w:name w:val="Revision"/>
    <w:hidden/>
    <w:uiPriority w:val="99"/>
    <w:semiHidden/>
    <w:rsid w:val="00CC2436"/>
    <w:rPr>
      <w:sz w:val="24"/>
      <w:szCs w:val="24"/>
    </w:rPr>
  </w:style>
  <w:style w:type="character" w:customStyle="1" w:styleId="ListParagraphChar">
    <w:name w:val="List Paragraph Char"/>
    <w:link w:val="ListParagraph"/>
    <w:uiPriority w:val="34"/>
    <w:locked/>
    <w:rsid w:val="004B570A"/>
    <w:rPr>
      <w:rFonts w:ascii="Calibri" w:eastAsia="MS PGothic" w:hAnsi="Calibri" w:cs="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9661">
      <w:bodyDiv w:val="1"/>
      <w:marLeft w:val="0"/>
      <w:marRight w:val="0"/>
      <w:marTop w:val="0"/>
      <w:marBottom w:val="0"/>
      <w:divBdr>
        <w:top w:val="none" w:sz="0" w:space="0" w:color="auto"/>
        <w:left w:val="none" w:sz="0" w:space="0" w:color="auto"/>
        <w:bottom w:val="none" w:sz="0" w:space="0" w:color="auto"/>
        <w:right w:val="none" w:sz="0" w:space="0" w:color="auto"/>
      </w:divBdr>
    </w:div>
    <w:div w:id="62802719">
      <w:bodyDiv w:val="1"/>
      <w:marLeft w:val="0"/>
      <w:marRight w:val="0"/>
      <w:marTop w:val="0"/>
      <w:marBottom w:val="0"/>
      <w:divBdr>
        <w:top w:val="none" w:sz="0" w:space="0" w:color="auto"/>
        <w:left w:val="none" w:sz="0" w:space="0" w:color="auto"/>
        <w:bottom w:val="none" w:sz="0" w:space="0" w:color="auto"/>
        <w:right w:val="none" w:sz="0" w:space="0" w:color="auto"/>
      </w:divBdr>
      <w:divsChild>
        <w:div w:id="1414626533">
          <w:marLeft w:val="0"/>
          <w:marRight w:val="0"/>
          <w:marTop w:val="0"/>
          <w:marBottom w:val="0"/>
          <w:divBdr>
            <w:top w:val="none" w:sz="0" w:space="0" w:color="auto"/>
            <w:left w:val="none" w:sz="0" w:space="0" w:color="auto"/>
            <w:bottom w:val="none" w:sz="0" w:space="0" w:color="auto"/>
            <w:right w:val="none" w:sz="0" w:space="0" w:color="auto"/>
          </w:divBdr>
        </w:div>
      </w:divsChild>
    </w:div>
    <w:div w:id="85200562">
      <w:bodyDiv w:val="1"/>
      <w:marLeft w:val="0"/>
      <w:marRight w:val="0"/>
      <w:marTop w:val="0"/>
      <w:marBottom w:val="0"/>
      <w:divBdr>
        <w:top w:val="none" w:sz="0" w:space="0" w:color="auto"/>
        <w:left w:val="none" w:sz="0" w:space="0" w:color="auto"/>
        <w:bottom w:val="none" w:sz="0" w:space="0" w:color="auto"/>
        <w:right w:val="none" w:sz="0" w:space="0" w:color="auto"/>
      </w:divBdr>
    </w:div>
    <w:div w:id="1127240502">
      <w:bodyDiv w:val="1"/>
      <w:marLeft w:val="0"/>
      <w:marRight w:val="0"/>
      <w:marTop w:val="0"/>
      <w:marBottom w:val="0"/>
      <w:divBdr>
        <w:top w:val="none" w:sz="0" w:space="0" w:color="auto"/>
        <w:left w:val="none" w:sz="0" w:space="0" w:color="auto"/>
        <w:bottom w:val="none" w:sz="0" w:space="0" w:color="auto"/>
        <w:right w:val="none" w:sz="0" w:space="0" w:color="auto"/>
      </w:divBdr>
    </w:div>
    <w:div w:id="1148786227">
      <w:bodyDiv w:val="1"/>
      <w:marLeft w:val="0"/>
      <w:marRight w:val="0"/>
      <w:marTop w:val="0"/>
      <w:marBottom w:val="0"/>
      <w:divBdr>
        <w:top w:val="none" w:sz="0" w:space="0" w:color="auto"/>
        <w:left w:val="none" w:sz="0" w:space="0" w:color="auto"/>
        <w:bottom w:val="none" w:sz="0" w:space="0" w:color="auto"/>
        <w:right w:val="none" w:sz="0" w:space="0" w:color="auto"/>
      </w:divBdr>
    </w:div>
    <w:div w:id="1758287649">
      <w:bodyDiv w:val="1"/>
      <w:marLeft w:val="0"/>
      <w:marRight w:val="0"/>
      <w:marTop w:val="0"/>
      <w:marBottom w:val="0"/>
      <w:divBdr>
        <w:top w:val="none" w:sz="0" w:space="0" w:color="auto"/>
        <w:left w:val="none" w:sz="0" w:space="0" w:color="auto"/>
        <w:bottom w:val="none" w:sz="0" w:space="0" w:color="auto"/>
        <w:right w:val="none" w:sz="0" w:space="0" w:color="auto"/>
      </w:divBdr>
      <w:divsChild>
        <w:div w:id="773525761">
          <w:marLeft w:val="0"/>
          <w:marRight w:val="0"/>
          <w:marTop w:val="0"/>
          <w:marBottom w:val="0"/>
          <w:divBdr>
            <w:top w:val="none" w:sz="0" w:space="0" w:color="auto"/>
            <w:left w:val="none" w:sz="0" w:space="0" w:color="auto"/>
            <w:bottom w:val="none" w:sz="0" w:space="0" w:color="auto"/>
            <w:right w:val="none" w:sz="0" w:space="0" w:color="auto"/>
          </w:divBdr>
        </w:div>
      </w:divsChild>
    </w:div>
    <w:div w:id="19773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ma.gov/media-library/assets/documents/29714?id=6670" TargetMode="External"/><Relationship Id="rId13" Type="http://schemas.openxmlformats.org/officeDocument/2006/relationships/header" Target="header2.xml"/><Relationship Id="rId18" Type="http://schemas.openxmlformats.org/officeDocument/2006/relationships/hyperlink" Target="http://www.dhs.gov/xopnbiz/grants/gc_1162481125903.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ema.gov/hazard-mitigation-grant-program" TargetMode="External"/><Relationship Id="rId17" Type="http://schemas.openxmlformats.org/officeDocument/2006/relationships/hyperlink" Target="http://www.fema.gov/pdf/government/grant/hsgp/fy08_hsgp_guide.pdf" TargetMode="External"/><Relationship Id="rId2" Type="http://schemas.openxmlformats.org/officeDocument/2006/relationships/numbering" Target="numbering.xml"/><Relationship Id="rId16" Type="http://schemas.openxmlformats.org/officeDocument/2006/relationships/hyperlink" Target="http://www.fema.gov/fy-2009-homeland-security-grant-progra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ema.gov/preparedness-non-disaster-grants"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fema.gov/public-assistance-local-state-tribal-and-non-profit"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B1B20-E3B4-4503-8199-109FF039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9051</Words>
  <Characters>50958</Characters>
  <Application>Microsoft Office Word</Application>
  <DocSecurity>0</DocSecurity>
  <Lines>1273</Lines>
  <Paragraphs>566</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59443</CharactersWithSpaces>
  <SharedDoc>false</SharedDoc>
  <HLinks>
    <vt:vector size="12" baseType="variant">
      <vt:variant>
        <vt:i4>8060966</vt:i4>
      </vt:variant>
      <vt:variant>
        <vt:i4>3</vt:i4>
      </vt:variant>
      <vt:variant>
        <vt:i4>0</vt:i4>
      </vt:variant>
      <vt:variant>
        <vt:i4>5</vt:i4>
      </vt:variant>
      <vt:variant>
        <vt:lpwstr>http://www.fema.gov/public-assistance-local-state-tribal-and-non-profit</vt:lpwstr>
      </vt:variant>
      <vt:variant>
        <vt:lpwstr/>
      </vt:variant>
      <vt:variant>
        <vt:i4>5767172</vt:i4>
      </vt:variant>
      <vt:variant>
        <vt:i4>0</vt:i4>
      </vt:variant>
      <vt:variant>
        <vt:i4>0</vt:i4>
      </vt:variant>
      <vt:variant>
        <vt:i4>5</vt:i4>
      </vt:variant>
      <vt:variant>
        <vt:lpwstr>http://www.fema.gov/media-library/assets/documents/29714?id=6670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subject/>
  <dc:creator>Joyce M. Ward</dc:creator>
  <cp:keywords/>
  <cp:lastModifiedBy>Ellen Angus</cp:lastModifiedBy>
  <cp:revision>3</cp:revision>
  <cp:lastPrinted>2015-03-30T19:08:00Z</cp:lastPrinted>
  <dcterms:created xsi:type="dcterms:W3CDTF">2016-05-24T17:02:00Z</dcterms:created>
  <dcterms:modified xsi:type="dcterms:W3CDTF">2016-06-28T18:08:00Z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