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1159" w:rsidRDefault="00EF1159">
      <w:pPr>
        <w:jc w:val="center"/>
        <w:rPr>
          <w:b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SEQ CHAPTER \h \r 1</w:instrText>
      </w:r>
      <w:r>
        <w:rPr>
          <w:sz w:val="28"/>
        </w:rPr>
        <w:fldChar w:fldCharType="end"/>
      </w:r>
      <w:r>
        <w:rPr>
          <w:b/>
          <w:sz w:val="28"/>
        </w:rPr>
        <w:t xml:space="preserve">PART 4 </w:t>
      </w:r>
      <w:r w:rsidR="00E77E7F">
        <w:rPr>
          <w:b/>
          <w:sz w:val="28"/>
        </w:rPr>
        <w:t>–</w:t>
      </w:r>
      <w:r>
        <w:rPr>
          <w:b/>
          <w:sz w:val="28"/>
        </w:rPr>
        <w:t xml:space="preserve"> AGENCY PROGRAM REQUIREMENTS</w:t>
      </w:r>
    </w:p>
    <w:p w:rsidR="00EF1159" w:rsidRDefault="00EF1159">
      <w:pPr>
        <w:rPr>
          <w:b/>
        </w:rPr>
      </w:pPr>
      <w:r>
        <w:rPr>
          <w:b/>
        </w:rPr>
        <w:t>INTRODUCTION</w:t>
      </w:r>
    </w:p>
    <w:p w:rsidR="00EF1159" w:rsidRDefault="00EF1159">
      <w:r>
        <w:t xml:space="preserve">For each Federal program (except R&amp;D and SFA) included in this Supplement, Part 4 provides </w:t>
      </w:r>
      <w:r>
        <w:br/>
        <w:t xml:space="preserve">I, “Program Objectives,” and II, “Program Procedures.”  Also, Part 4 provides information about compliance requirements specific to a program in III, “Compliance Requirements.”  Finally, </w:t>
      </w:r>
      <w:r w:rsidR="00890BED">
        <w:br/>
      </w:r>
      <w:r>
        <w:t>Part 4 also provides IV, “Other Information,” when there is other useful information pertaining to the program that does not fit in sections I - III.  For example, when a program allows funds to be tra</w:t>
      </w:r>
      <w:r w:rsidR="002A5A02">
        <w:t xml:space="preserve">nsferred to another program, </w:t>
      </w:r>
      <w:r w:rsidR="005451E9">
        <w:t xml:space="preserve">section IV </w:t>
      </w:r>
      <w:r>
        <w:t>provide</w:t>
      </w:r>
      <w:r w:rsidR="005451E9">
        <w:t>s</w:t>
      </w:r>
      <w:r>
        <w:t xml:space="preserve"> guidance on how those funds should be treated on the Schedule of Expenditures of Federal Awards and </w:t>
      </w:r>
      <w:r w:rsidR="005A71C5">
        <w:t xml:space="preserve">in </w:t>
      </w:r>
      <w:r>
        <w:t>Type A program determinations.</w:t>
      </w:r>
    </w:p>
    <w:p w:rsidR="00EF1159" w:rsidRDefault="00EF1159">
      <w:r>
        <w:t xml:space="preserve">When any of five types of compliance requirements (A, “Activities Allowed or Unallowed,” </w:t>
      </w:r>
      <w:r>
        <w:br/>
        <w:t>E, “Eligibility,” G, “Matching, Level of Effort, Earmarking,” L, “Reporting,” and N, “Special Tests an</w:t>
      </w:r>
      <w:r w:rsidR="00BB4863">
        <w:t>d Provisions”) is</w:t>
      </w:r>
      <w:r>
        <w:t xml:space="preserve"> applicab</w:t>
      </w:r>
      <w:r w:rsidR="005451E9">
        <w:t>le to a program included in the</w:t>
      </w:r>
      <w:r>
        <w:t xml:space="preserve"> Supplement, Part 4 will always provide information specific to the program.  The auditor should look to Part 3 for a general description of the compliance requirements, audit objectives, and suggested audit procedures and to Part 4 for information about the specific requirements for a program.  An exception is that for N</w:t>
      </w:r>
      <w:r w:rsidR="002C0DD9">
        <w:t>, “Special Tests and Provisions,</w:t>
      </w:r>
      <w:r>
        <w:t xml:space="preserve">” Part 3 includes </w:t>
      </w:r>
      <w:r w:rsidR="00BB4863">
        <w:t xml:space="preserve">only </w:t>
      </w:r>
      <w:r>
        <w:t>audit objectives and suggested audit procedures for internal control</w:t>
      </w:r>
      <w:r w:rsidR="009B01FE">
        <w:t xml:space="preserve">; </w:t>
      </w:r>
      <w:r>
        <w:t>all other information is included in Part 4.</w:t>
      </w:r>
    </w:p>
    <w:p w:rsidR="00EF1159" w:rsidRDefault="005451E9">
      <w:r>
        <w:t>The other seven</w:t>
      </w:r>
      <w:r w:rsidR="00EF1159">
        <w:t xml:space="preserve"> types of compliance requirements generally are not specific to a program and</w:t>
      </w:r>
      <w:r w:rsidR="0089460F">
        <w:t>,</w:t>
      </w:r>
      <w:r w:rsidR="00EF1159">
        <w:t xml:space="preserve"> therefore</w:t>
      </w:r>
      <w:r w:rsidR="0089460F">
        <w:t>,</w:t>
      </w:r>
      <w:r w:rsidR="002C0DD9">
        <w:t xml:space="preserve"> </w:t>
      </w:r>
      <w:r w:rsidR="00EF1159">
        <w:t xml:space="preserve">usually </w:t>
      </w:r>
      <w:r w:rsidR="002C0DD9">
        <w:t xml:space="preserve">are </w:t>
      </w:r>
      <w:r w:rsidR="00EF1159">
        <w:t>not listed in Part 4.  Howev</w:t>
      </w:r>
      <w:r>
        <w:t>er, when one of these other seven</w:t>
      </w:r>
      <w:r w:rsidR="00EF1159">
        <w:t xml:space="preserve"> types</w:t>
      </w:r>
      <w:r w:rsidR="00BB4863">
        <w:t xml:space="preserve"> of compliance requirements has</w:t>
      </w:r>
      <w:r w:rsidR="00EF1159">
        <w:t xml:space="preserve"> information specific to a program, this specific information will be provided with the program in Part 4.</w:t>
      </w:r>
    </w:p>
    <w:p w:rsidR="00EF1159" w:rsidRDefault="00EF1159">
      <w:r>
        <w:t>When a requirement is marked as “Not Applicable,” it means either that there are no compliance requirements or the auditor is not required to test compliance.</w:t>
      </w:r>
    </w:p>
    <w:p w:rsidR="00EF1159" w:rsidRDefault="00EF1159">
      <w:r>
        <w:t>In developing the audit procedures to test compliance with the requirements for a Federal program, the auditor should first look to Part 2, Matrix of Compliance Requireme</w:t>
      </w:r>
      <w:r w:rsidR="005451E9">
        <w:t>nts, to identify which of the 12</w:t>
      </w:r>
      <w:r>
        <w:t xml:space="preserve"> types of compliance requirements described in Part 3 are applicable and then look to Parts 3 and 4 for the details of the requirements.  The descriptions of the compliance re</w:t>
      </w:r>
      <w:r w:rsidR="002C0DD9">
        <w:t xml:space="preserve">quirements in Parts 3 and 4 </w:t>
      </w:r>
      <w:r>
        <w:t xml:space="preserve">generally </w:t>
      </w:r>
      <w:r w:rsidR="002C0DD9">
        <w:t xml:space="preserve">are </w:t>
      </w:r>
      <w:r>
        <w:t>a summary of the actual compliance requirements.  The auditor should refer to the referenced citations (e.g., laws and regulations) for the complete compliance requirements.</w:t>
      </w:r>
    </w:p>
    <w:p w:rsidR="00EF1159" w:rsidRDefault="00EF1159">
      <w:r>
        <w:t>For R&amp;D and SFA</w:t>
      </w:r>
      <w:r w:rsidR="009B01FE">
        <w:t xml:space="preserve"> programs</w:t>
      </w:r>
      <w:r>
        <w:t>, Part 5 is the equivalent of Part 4; therefore the auditor will need to consider Parts 2, 3, and 5 in developing the audit program for these programs (program clusters).</w:t>
      </w:r>
    </w:p>
    <w:p w:rsidR="00EF1159" w:rsidRDefault="00EF1159"/>
    <w:p w:rsidR="00EF1159" w:rsidRDefault="00EF1159"/>
    <w:sectPr w:rsidR="00EF115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B8" w:rsidRDefault="00CF10B8">
      <w:r>
        <w:separator/>
      </w:r>
    </w:p>
  </w:endnote>
  <w:endnote w:type="continuationSeparator" w:id="0">
    <w:p w:rsidR="00CF10B8" w:rsidRDefault="00CF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AF" w:rsidRDefault="00C336AF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4-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4E0D87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B8" w:rsidRDefault="00CF10B8">
      <w:r>
        <w:separator/>
      </w:r>
    </w:p>
  </w:footnote>
  <w:footnote w:type="continuationSeparator" w:id="0">
    <w:p w:rsidR="00CF10B8" w:rsidRDefault="00CF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AF" w:rsidRDefault="000E452A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</w:t>
    </w:r>
    <w:r w:rsidR="005451E9">
      <w:rPr>
        <w:sz w:val="18"/>
      </w:rPr>
      <w:t xml:space="preserve"> 2015</w:t>
    </w:r>
    <w:r w:rsidR="00C336AF">
      <w:rPr>
        <w:sz w:val="18"/>
      </w:rPr>
      <w:tab/>
      <w:t>Agency Program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35EDB"/>
    <w:multiLevelType w:val="singleLevel"/>
    <w:tmpl w:val="7EDC2D7C"/>
    <w:lvl w:ilvl="0">
      <w:start w:val="1"/>
      <w:numFmt w:val="bullet"/>
      <w:pStyle w:val="Bullet1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  <w:sz w:val="19"/>
      </w:rPr>
    </w:lvl>
  </w:abstractNum>
  <w:abstractNum w:abstractNumId="2" w15:restartNumberingAfterBreak="0">
    <w:nsid w:val="05FD76DC"/>
    <w:multiLevelType w:val="hybridMultilevel"/>
    <w:tmpl w:val="41AE3A58"/>
    <w:lvl w:ilvl="0" w:tplc="E4DA405C">
      <w:start w:val="1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159"/>
    <w:rsid w:val="00002CA9"/>
    <w:rsid w:val="00010D58"/>
    <w:rsid w:val="000E452A"/>
    <w:rsid w:val="00147642"/>
    <w:rsid w:val="001F63B9"/>
    <w:rsid w:val="00272831"/>
    <w:rsid w:val="00297CD0"/>
    <w:rsid w:val="002A5A02"/>
    <w:rsid w:val="002C0DD9"/>
    <w:rsid w:val="0033291C"/>
    <w:rsid w:val="0039024F"/>
    <w:rsid w:val="0039443F"/>
    <w:rsid w:val="003A31E4"/>
    <w:rsid w:val="003C68DA"/>
    <w:rsid w:val="00401916"/>
    <w:rsid w:val="00455A45"/>
    <w:rsid w:val="004E0D87"/>
    <w:rsid w:val="005451E9"/>
    <w:rsid w:val="0055380F"/>
    <w:rsid w:val="00587B7D"/>
    <w:rsid w:val="005A71C5"/>
    <w:rsid w:val="00606C2E"/>
    <w:rsid w:val="006402BD"/>
    <w:rsid w:val="006F4047"/>
    <w:rsid w:val="00870243"/>
    <w:rsid w:val="00890BED"/>
    <w:rsid w:val="0089460F"/>
    <w:rsid w:val="008A0EFC"/>
    <w:rsid w:val="008D5334"/>
    <w:rsid w:val="00907F50"/>
    <w:rsid w:val="00935C96"/>
    <w:rsid w:val="009B01FE"/>
    <w:rsid w:val="00A03C57"/>
    <w:rsid w:val="00AB77B3"/>
    <w:rsid w:val="00AE7482"/>
    <w:rsid w:val="00BB4863"/>
    <w:rsid w:val="00BD7874"/>
    <w:rsid w:val="00C336AF"/>
    <w:rsid w:val="00CC6230"/>
    <w:rsid w:val="00CD1608"/>
    <w:rsid w:val="00CF10B8"/>
    <w:rsid w:val="00DA2CA7"/>
    <w:rsid w:val="00E22A82"/>
    <w:rsid w:val="00E77E7F"/>
    <w:rsid w:val="00EB636A"/>
    <w:rsid w:val="00EF1159"/>
    <w:rsid w:val="00F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A5FC6C-BB58-4710-8608-3E7AC5A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ind w:firstLine="72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tabs>
        <w:tab w:val="right" w:leader="dot" w:pos="9360"/>
      </w:tabs>
      <w:autoSpaceDE w:val="0"/>
      <w:autoSpaceDN w:val="0"/>
      <w:adjustRightInd w:val="0"/>
      <w:ind w:firstLine="2160"/>
      <w:outlineLvl w:val="1"/>
    </w:p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00" w:lineRule="exact"/>
      <w:jc w:val="center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</w:tabs>
      <w:outlineLvl w:val="6"/>
    </w:pPr>
    <w:rPr>
      <w:i/>
      <w:iCs/>
      <w:szCs w:val="20"/>
    </w:rPr>
  </w:style>
  <w:style w:type="paragraph" w:styleId="Heading8">
    <w:name w:val="heading 8"/>
    <w:basedOn w:val="Normal"/>
    <w:next w:val="Normal"/>
    <w:qFormat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ST2">
    <w:name w:val="TEST2"/>
    <w:rPr>
      <w:b/>
      <w:bCs/>
      <w:sz w:val="30"/>
      <w:szCs w:val="30"/>
    </w:rPr>
  </w:style>
  <w:style w:type="character" w:customStyle="1" w:styleId="CS-2">
    <w:name w:val="CS-2"/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Bullet1">
    <w:name w:val="Bullet 1"/>
    <w:basedOn w:val="Normal"/>
    <w:pPr>
      <w:numPr>
        <w:numId w:val="11"/>
      </w:numPr>
    </w:pPr>
    <w:rPr>
      <w:szCs w:val="20"/>
    </w:rPr>
  </w:style>
  <w:style w:type="paragraph" w:styleId="BodyTextIndent">
    <w:name w:val="Body Text Indent"/>
    <w:basedOn w:val="Normal"/>
    <w:pPr>
      <w:tabs>
        <w:tab w:val="right" w:leader="dot" w:pos="9360"/>
      </w:tabs>
      <w:autoSpaceDE w:val="0"/>
      <w:autoSpaceDN w:val="0"/>
      <w:adjustRightInd w:val="0"/>
      <w:ind w:left="2340" w:firstLine="720"/>
    </w:pPr>
  </w:style>
  <w:style w:type="paragraph" w:styleId="BodyTextIndent3">
    <w:name w:val="Body Text Indent 3"/>
    <w:basedOn w:val="Normal"/>
    <w:pPr>
      <w:tabs>
        <w:tab w:val="left" w:pos="8460"/>
      </w:tabs>
      <w:autoSpaceDE w:val="0"/>
      <w:autoSpaceDN w:val="0"/>
      <w:adjustRightInd w:val="0"/>
      <w:ind w:left="2340" w:hanging="900"/>
    </w:p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2160" w:hanging="72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BodyText">
    <w:name w:val="Body Text"/>
    <w:basedOn w:val="Normal"/>
  </w:style>
  <w:style w:type="paragraph" w:styleId="ListBullet3">
    <w:name w:val="List Bullet 3"/>
    <w:basedOn w:val="Normal"/>
    <w:autoRedefine/>
    <w:pPr>
      <w:widowControl w:val="0"/>
      <w:numPr>
        <w:numId w:val="3"/>
      </w:numPr>
      <w:autoSpaceDE w:val="0"/>
      <w:autoSpaceDN w:val="0"/>
      <w:adjustRightInd w:val="0"/>
    </w:pPr>
  </w:style>
  <w:style w:type="paragraph" w:styleId="ListBullet2">
    <w:name w:val="List Bullet 2"/>
    <w:basedOn w:val="Normal"/>
    <w:autoRedefine/>
    <w:pPr>
      <w:keepNext/>
      <w:keepLines/>
      <w:autoSpaceDE w:val="0"/>
      <w:autoSpaceDN w:val="0"/>
      <w:adjustRightInd w:val="0"/>
      <w:ind w:left="3600" w:hanging="720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QuickA">
    <w:name w:val="Quick A."/>
    <w:basedOn w:val="Normal"/>
    <w:pPr>
      <w:widowControl w:val="0"/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Outline0011">
    <w:name w:val="Outline001_1"/>
    <w:basedOn w:val="Normal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ind w:left="1800" w:hanging="360"/>
    </w:pPr>
    <w:rPr>
      <w:rFonts w:ascii="Wingdings" w:hAnsi="Wingdings"/>
      <w:sz w:val="20"/>
      <w:szCs w:val="20"/>
    </w:rPr>
  </w:style>
  <w:style w:type="paragraph" w:styleId="ListBullet">
    <w:name w:val="List Bullet"/>
    <w:basedOn w:val="Normal"/>
    <w:autoRedefine/>
    <w:pPr>
      <w:numPr>
        <w:numId w:val="2"/>
      </w:numPr>
      <w:autoSpaceDE w:val="0"/>
      <w:autoSpaceDN w:val="0"/>
      <w:adjustRightInd w:val="0"/>
    </w:pPr>
  </w:style>
  <w:style w:type="paragraph" w:styleId="ListBullet4">
    <w:name w:val="List Bullet 4"/>
    <w:basedOn w:val="Normal"/>
    <w:autoRedefine/>
    <w:pPr>
      <w:numPr>
        <w:numId w:val="4"/>
      </w:numPr>
      <w:autoSpaceDE w:val="0"/>
      <w:autoSpaceDN w:val="0"/>
      <w:adjustRightInd w:val="0"/>
    </w:pPr>
  </w:style>
  <w:style w:type="paragraph" w:styleId="ListBullet5">
    <w:name w:val="List Bullet 5"/>
    <w:basedOn w:val="Normal"/>
    <w:autoRedefine/>
    <w:pPr>
      <w:numPr>
        <w:numId w:val="5"/>
      </w:numPr>
      <w:autoSpaceDE w:val="0"/>
      <w:autoSpaceDN w:val="0"/>
      <w:adjustRightInd w:val="0"/>
    </w:pPr>
  </w:style>
  <w:style w:type="paragraph" w:styleId="ListNumber">
    <w:name w:val="List Number"/>
    <w:basedOn w:val="Normal"/>
    <w:pPr>
      <w:numPr>
        <w:numId w:val="6"/>
      </w:numPr>
      <w:autoSpaceDE w:val="0"/>
      <w:autoSpaceDN w:val="0"/>
      <w:adjustRightInd w:val="0"/>
    </w:pPr>
  </w:style>
  <w:style w:type="paragraph" w:styleId="ListNumber2">
    <w:name w:val="List Number 2"/>
    <w:basedOn w:val="Normal"/>
    <w:pPr>
      <w:numPr>
        <w:numId w:val="7"/>
      </w:numPr>
      <w:autoSpaceDE w:val="0"/>
      <w:autoSpaceDN w:val="0"/>
      <w:adjustRightInd w:val="0"/>
    </w:pPr>
  </w:style>
  <w:style w:type="paragraph" w:styleId="ListNumber3">
    <w:name w:val="List Number 3"/>
    <w:basedOn w:val="Normal"/>
    <w:pPr>
      <w:numPr>
        <w:numId w:val="8"/>
      </w:numPr>
      <w:autoSpaceDE w:val="0"/>
      <w:autoSpaceDN w:val="0"/>
      <w:adjustRightInd w:val="0"/>
    </w:pPr>
  </w:style>
  <w:style w:type="paragraph" w:styleId="ListNumber4">
    <w:name w:val="List Number 4"/>
    <w:basedOn w:val="Normal"/>
    <w:pPr>
      <w:numPr>
        <w:numId w:val="9"/>
      </w:numPr>
      <w:autoSpaceDE w:val="0"/>
      <w:autoSpaceDN w:val="0"/>
      <w:adjustRightInd w:val="0"/>
    </w:pPr>
  </w:style>
  <w:style w:type="paragraph" w:styleId="ListNumber5">
    <w:name w:val="List Number 5"/>
    <w:basedOn w:val="Normal"/>
    <w:pPr>
      <w:numPr>
        <w:numId w:val="10"/>
      </w:numPr>
      <w:autoSpaceDE w:val="0"/>
      <w:autoSpaceDN w:val="0"/>
      <w:adjustRightInd w:val="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bCs/>
      <w:u w:val="single"/>
    </w:rPr>
  </w:style>
  <w:style w:type="paragraph" w:styleId="Date">
    <w:name w:val="Date"/>
    <w:basedOn w:val="Normal"/>
    <w:next w:val="Normal"/>
    <w:pPr>
      <w:autoSpaceDE w:val="0"/>
      <w:autoSpaceDN w:val="0"/>
      <w:adjustRightInd w:val="0"/>
    </w:pPr>
  </w:style>
  <w:style w:type="paragraph" w:styleId="CommentText">
    <w:name w:val="annotation text"/>
    <w:basedOn w:val="Normal"/>
    <w:semiHidden/>
    <w:pPr>
      <w:autoSpaceDE w:val="0"/>
      <w:autoSpaceDN w:val="0"/>
      <w:adjustRightInd w:val="0"/>
    </w:pPr>
    <w:rPr>
      <w:sz w:val="20"/>
      <w:szCs w:val="20"/>
    </w:rPr>
  </w:style>
  <w:style w:type="paragraph" w:customStyle="1" w:styleId="Quick">
    <w:name w:val="Quick ­"/>
    <w:basedOn w:val="Normal"/>
    <w:pPr>
      <w:widowControl w:val="0"/>
      <w:autoSpaceDE w:val="0"/>
      <w:autoSpaceDN w:val="0"/>
      <w:adjustRightInd w:val="0"/>
      <w:spacing w:after="0"/>
      <w:ind w:left="2160" w:hanging="720"/>
    </w:pPr>
    <w:rPr>
      <w:rFonts w:ascii="Courier" w:hAnsi="Courier"/>
    </w:rPr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tabs>
        <w:tab w:val="left" w:pos="-1440"/>
        <w:tab w:val="left" w:pos="1080"/>
      </w:tabs>
      <w:autoSpaceDE w:val="0"/>
      <w:autoSpaceDN w:val="0"/>
      <w:adjustRightInd w:val="0"/>
      <w:spacing w:after="0"/>
      <w:ind w:left="1080" w:hanging="360"/>
    </w:pPr>
  </w:style>
  <w:style w:type="paragraph" w:customStyle="1" w:styleId="Quick0">
    <w:name w:val="Quick ·"/>
    <w:basedOn w:val="Normal"/>
    <w:pPr>
      <w:widowControl w:val="0"/>
      <w:autoSpaceDE w:val="0"/>
      <w:autoSpaceDN w:val="0"/>
      <w:adjustRightInd w:val="0"/>
      <w:spacing w:after="0"/>
      <w:ind w:left="1440" w:hanging="720"/>
    </w:pPr>
    <w:rPr>
      <w:rFonts w:ascii="Courier" w:hAnsi="Courier"/>
    </w:rPr>
  </w:style>
  <w:style w:type="paragraph" w:styleId="TOC2">
    <w:name w:val="toc 2"/>
    <w:basedOn w:val="Normal"/>
    <w:next w:val="Normal"/>
    <w:autoRedefine/>
    <w:semiHidden/>
    <w:pPr>
      <w:widowControl w:val="0"/>
      <w:autoSpaceDE w:val="0"/>
      <w:autoSpaceDN w:val="0"/>
      <w:adjustRightInd w:val="0"/>
      <w:spacing w:after="0"/>
      <w:ind w:left="1440" w:hanging="720"/>
    </w:pPr>
  </w:style>
  <w:style w:type="character" w:customStyle="1" w:styleId="Title2">
    <w:name w:val="Title2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semiHidden/>
    <w:pPr>
      <w:widowControl w:val="0"/>
      <w:autoSpaceDE w:val="0"/>
      <w:autoSpaceDN w:val="0"/>
      <w:adjustRightInd w:val="0"/>
      <w:spacing w:after="0"/>
    </w:pPr>
    <w:rPr>
      <w:sz w:val="20"/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Logistics Management Institute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Joyce M. Ward</dc:creator>
  <cp:lastModifiedBy>Ellen Angus</cp:lastModifiedBy>
  <cp:revision>5</cp:revision>
  <cp:lastPrinted>2015-06-30T17:03:00Z</cp:lastPrinted>
  <dcterms:created xsi:type="dcterms:W3CDTF">2015-05-06T18:30:00Z</dcterms:created>
  <dcterms:modified xsi:type="dcterms:W3CDTF">2015-06-30T17:04:00Z</dcterms:modified>
</cp:coreProperties>
</file>