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D959A2" w:rsidRDefault="00D959A2" w:rsidP="002315C1">
      <w:pPr>
        <w:tabs>
          <w:tab w:val="center" w:pos="4680"/>
        </w:tabs>
        <w:jc w:val="center"/>
        <w:outlineLvl w:val="0"/>
        <w:rPr>
          <w:b/>
        </w:rPr>
      </w:pPr>
      <w:r>
        <w:fldChar w:fldCharType="begin"/>
      </w:r>
      <w:r>
        <w:instrText xml:space="preserve"> SEQ CHAPTER \h \r 1</w:instrText>
      </w:r>
      <w:r>
        <w:fldChar w:fldCharType="end"/>
      </w:r>
      <w:r>
        <w:rPr>
          <w:b/>
        </w:rPr>
        <w:t>NATIONAL ENDOWMENT FOR THE HUMANITIES</w:t>
      </w:r>
    </w:p>
    <w:bookmarkEnd w:id="0"/>
    <w:p w:rsidR="00D959A2" w:rsidRDefault="00D959A2" w:rsidP="00D959A2">
      <w:pPr>
        <w:tabs>
          <w:tab w:val="left" w:pos="1800"/>
        </w:tabs>
        <w:ind w:left="1800" w:hanging="1800"/>
        <w:rPr>
          <w:b/>
        </w:rPr>
      </w:pPr>
      <w:r>
        <w:rPr>
          <w:b/>
        </w:rPr>
        <w:t>CFDA 45.129</w:t>
      </w:r>
      <w:r>
        <w:rPr>
          <w:b/>
        </w:rPr>
        <w:tab/>
        <w:t>PROMOTION OF THE HUMANITIES - FEDERAL/STATE PARTNERSHIP</w:t>
      </w:r>
    </w:p>
    <w:p w:rsidR="00D959A2" w:rsidRDefault="00D959A2" w:rsidP="002315C1">
      <w:pPr>
        <w:outlineLvl w:val="0"/>
      </w:pPr>
      <w:r>
        <w:rPr>
          <w:b/>
        </w:rPr>
        <w:t>I.</w:t>
      </w:r>
      <w:r>
        <w:rPr>
          <w:b/>
        </w:rPr>
        <w:tab/>
        <w:t>PROGRAM OBJECTIVES</w:t>
      </w:r>
    </w:p>
    <w:p w:rsidR="00D959A2" w:rsidRDefault="00D959A2" w:rsidP="00D959A2">
      <w:r>
        <w:t xml:space="preserve">To provide funding through grants to humanities councils in each State (including the District of Columbia, the Commonwealth of Puerto Rico, the Virgin Islands, Guam, American Samoa, and the Commonwealth of Northern Mariana Islands).  The 56 </w:t>
      </w:r>
      <w:r w:rsidR="00A25A82">
        <w:t>s</w:t>
      </w:r>
      <w:r>
        <w:t>tate humanities councils support, on a competitive basis, locally initiated humanities programs.  State councils also design and conduct humanities projects.</w:t>
      </w:r>
    </w:p>
    <w:p w:rsidR="00D959A2" w:rsidRDefault="00D959A2" w:rsidP="002315C1">
      <w:pPr>
        <w:outlineLvl w:val="0"/>
      </w:pPr>
      <w:r>
        <w:rPr>
          <w:b/>
        </w:rPr>
        <w:t>II.</w:t>
      </w:r>
      <w:r>
        <w:rPr>
          <w:b/>
        </w:rPr>
        <w:tab/>
        <w:t>PROGRAM PROCEDURES</w:t>
      </w:r>
    </w:p>
    <w:p w:rsidR="00D959A2" w:rsidRDefault="00D959A2" w:rsidP="00D959A2">
      <w:r>
        <w:t xml:space="preserve">The National Endowment for the Humanities (NEH) makes </w:t>
      </w:r>
      <w:r w:rsidR="00A23A85">
        <w:t xml:space="preserve">general support </w:t>
      </w:r>
      <w:r>
        <w:t xml:space="preserve">grants to each of the 56 </w:t>
      </w:r>
      <w:r w:rsidR="00A25A82">
        <w:t>s</w:t>
      </w:r>
      <w:r>
        <w:t xml:space="preserve">tate humanities councils upon submission and approval of the </w:t>
      </w:r>
      <w:r w:rsidR="00DC2595" w:rsidRPr="00833F47">
        <w:rPr>
          <w:i/>
        </w:rPr>
        <w:t>NEH/</w:t>
      </w:r>
      <w:r w:rsidRPr="00833F47">
        <w:rPr>
          <w:i/>
        </w:rPr>
        <w:t xml:space="preserve">Federal/State Partnership Compliance Plan </w:t>
      </w:r>
      <w:r w:rsidR="00DC2595" w:rsidRPr="00833F47">
        <w:rPr>
          <w:i/>
        </w:rPr>
        <w:t>and Federal/State Partnership Compliance Plan Cover Sheet</w:t>
      </w:r>
      <w:r w:rsidR="00DC2595">
        <w:rPr>
          <w:i/>
        </w:rPr>
        <w:t xml:space="preserve"> </w:t>
      </w:r>
      <w:r>
        <w:rPr>
          <w:i/>
        </w:rPr>
        <w:t>(OMB No. 3136-0134)</w:t>
      </w:r>
      <w:r>
        <w:t xml:space="preserve">.  Generally, </w:t>
      </w:r>
      <w:r w:rsidR="00A23A85">
        <w:t xml:space="preserve">each </w:t>
      </w:r>
      <w:r>
        <w:t xml:space="preserve">grant is for a five-year period with annual awards in the first three years.  The grants provide administrative and program support.  After receipt of the grant, the </w:t>
      </w:r>
      <w:r w:rsidR="00A25A82">
        <w:t>s</w:t>
      </w:r>
      <w:r>
        <w:t xml:space="preserve">tate humanities council is required to submit a </w:t>
      </w:r>
      <w:r>
        <w:rPr>
          <w:i/>
        </w:rPr>
        <w:t>Summary Budget for the Funding Period</w:t>
      </w:r>
      <w:r>
        <w:t xml:space="preserve"> (</w:t>
      </w:r>
      <w:r>
        <w:rPr>
          <w:i/>
          <w:iCs/>
        </w:rPr>
        <w:t>OMB No. 3136-0134</w:t>
      </w:r>
      <w:r>
        <w:t>)</w:t>
      </w:r>
      <w:r w:rsidR="006E58CB">
        <w:t>,</w:t>
      </w:r>
      <w:r w:rsidR="000C6B10">
        <w:t xml:space="preserve"> wherein the Council must list the total anticipated expendit</w:t>
      </w:r>
      <w:r w:rsidR="00B4648C">
        <w:t>ure of NEH outright funds, NEH F</w:t>
      </w:r>
      <w:r w:rsidR="008C7FC2">
        <w:t>ederal M</w:t>
      </w:r>
      <w:r w:rsidR="000C6B10">
        <w:t>atching funds, and cash cost sharing (including the gifts that will be certified to NEH for matching</w:t>
      </w:r>
      <w:r w:rsidR="008C166F">
        <w:t>)</w:t>
      </w:r>
      <w:r>
        <w:t xml:space="preserve">.  The </w:t>
      </w:r>
      <w:r w:rsidR="00A25A82">
        <w:t>s</w:t>
      </w:r>
      <w:r>
        <w:t>tate humanities councils may subgrant funds, referred to as “regrants” in this program, to local non-profit organizations, institutions, groups, and individuals.</w:t>
      </w:r>
    </w:p>
    <w:p w:rsidR="00D959A2" w:rsidRDefault="00D959A2" w:rsidP="002315C1">
      <w:pPr>
        <w:outlineLvl w:val="0"/>
      </w:pPr>
      <w:r>
        <w:rPr>
          <w:b/>
        </w:rPr>
        <w:t>Source of Governing Requirements</w:t>
      </w:r>
    </w:p>
    <w:p w:rsidR="00D959A2" w:rsidRDefault="00D959A2" w:rsidP="00D959A2">
      <w:r>
        <w:t>The laws for this program are found in 20 USC 956.</w:t>
      </w:r>
    </w:p>
    <w:p w:rsidR="00D959A2" w:rsidRDefault="00D959A2" w:rsidP="002315C1">
      <w:pPr>
        <w:outlineLvl w:val="0"/>
      </w:pPr>
      <w:r>
        <w:rPr>
          <w:b/>
        </w:rPr>
        <w:t>Availability of Other Program Information</w:t>
      </w:r>
    </w:p>
    <w:p w:rsidR="008246A9" w:rsidRPr="00865F56" w:rsidRDefault="003839EA" w:rsidP="00D959A2">
      <w:r>
        <w:t>NEH maintains a web</w:t>
      </w:r>
      <w:r w:rsidR="00D959A2" w:rsidRPr="00865F56">
        <w:t>site (</w:t>
      </w:r>
      <w:hyperlink r:id="rId7" w:history="1">
        <w:r w:rsidR="00E45178" w:rsidRPr="003062C1">
          <w:rPr>
            <w:rStyle w:val="Hyperlink"/>
          </w:rPr>
          <w:t>http://www.neh.gov</w:t>
        </w:r>
      </w:hyperlink>
      <w:r w:rsidR="00E45178">
        <w:t xml:space="preserve">) </w:t>
      </w:r>
      <w:r>
        <w:t>that</w:t>
      </w:r>
      <w:r w:rsidR="00D959A2" w:rsidRPr="00865F56">
        <w:t xml:space="preserve"> provides general information about NEH programs.  </w:t>
      </w:r>
      <w:r w:rsidR="00CD4314" w:rsidRPr="00865F56">
        <w:t>Three</w:t>
      </w:r>
      <w:r w:rsidR="00D959A2" w:rsidRPr="00865F56">
        <w:t xml:space="preserve"> publications, titled </w:t>
      </w:r>
      <w:r w:rsidR="00121C36" w:rsidRPr="00865F56">
        <w:t>“</w:t>
      </w:r>
      <w:hyperlink r:id="rId8" w:history="1">
        <w:r w:rsidR="00D959A2" w:rsidRPr="00865F56">
          <w:rPr>
            <w:rStyle w:val="Hyperlink"/>
            <w:color w:val="auto"/>
            <w:u w:val="none"/>
          </w:rPr>
          <w:t xml:space="preserve">General </w:t>
        </w:r>
        <w:r w:rsidR="00D76BC2" w:rsidRPr="00865F56">
          <w:rPr>
            <w:rStyle w:val="Hyperlink"/>
            <w:color w:val="auto"/>
            <w:u w:val="none"/>
          </w:rPr>
          <w:t xml:space="preserve">Terms and Conditions </w:t>
        </w:r>
        <w:r w:rsidR="00D959A2" w:rsidRPr="00865F56">
          <w:rPr>
            <w:rStyle w:val="Hyperlink"/>
            <w:color w:val="auto"/>
            <w:u w:val="none"/>
          </w:rPr>
          <w:t>for General Support Grants to State Humanities Councils</w:t>
        </w:r>
      </w:hyperlink>
      <w:r w:rsidR="000C6B10">
        <w:t xml:space="preserve"> </w:t>
      </w:r>
      <w:r w:rsidR="00D169DB">
        <w:t>(October 2012)</w:t>
      </w:r>
      <w:r w:rsidR="00865F56">
        <w:t>,</w:t>
      </w:r>
      <w:r w:rsidR="00D449A8" w:rsidRPr="00865F56">
        <w:t>”</w:t>
      </w:r>
      <w:r w:rsidR="00CD4314" w:rsidRPr="00865F56">
        <w:t xml:space="preserve"> “</w:t>
      </w:r>
      <w:hyperlink r:id="rId9" w:history="1">
        <w:r w:rsidR="00CD4314" w:rsidRPr="00865F56">
          <w:rPr>
            <w:rStyle w:val="Hyperlink"/>
            <w:color w:val="auto"/>
            <w:u w:val="none"/>
          </w:rPr>
          <w:t>Addendum to General Terms and Conditions for General Support Grants to State Humanities Council</w:t>
        </w:r>
      </w:hyperlink>
      <w:r w:rsidR="00ED0EC6">
        <w:t>s</w:t>
      </w:r>
      <w:r w:rsidR="000C6B10">
        <w:t xml:space="preserve"> (for awards issued October 1, 2010 or later)</w:t>
      </w:r>
      <w:r w:rsidR="00865F56">
        <w:t>,</w:t>
      </w:r>
      <w:r w:rsidR="00865F56" w:rsidRPr="00865F56">
        <w:t>”</w:t>
      </w:r>
      <w:r w:rsidR="00CD4314" w:rsidRPr="00865F56">
        <w:t xml:space="preserve"> </w:t>
      </w:r>
      <w:r w:rsidR="00D959A2" w:rsidRPr="00865F56">
        <w:t xml:space="preserve">and </w:t>
      </w:r>
      <w:r w:rsidR="00D449A8" w:rsidRPr="00865F56">
        <w:t>“</w:t>
      </w:r>
      <w:hyperlink r:id="rId10" w:history="1">
        <w:r w:rsidR="00D959A2" w:rsidRPr="00865F56">
          <w:rPr>
            <w:rStyle w:val="Hyperlink"/>
            <w:color w:val="auto"/>
            <w:u w:val="none"/>
          </w:rPr>
          <w:t>Matching Guidelines for General Support Grants to State Humanities Councils</w:t>
        </w:r>
      </w:hyperlink>
      <w:r w:rsidR="00865F56">
        <w:t>,</w:t>
      </w:r>
      <w:r w:rsidR="00121C36" w:rsidRPr="00865F56">
        <w:t>”</w:t>
      </w:r>
      <w:r w:rsidR="00D959A2" w:rsidRPr="00865F56">
        <w:t xml:space="preserve"> </w:t>
      </w:r>
      <w:r w:rsidR="008246A9" w:rsidRPr="00865F56">
        <w:t xml:space="preserve">are specifically applicable to this program.  </w:t>
      </w:r>
    </w:p>
    <w:p w:rsidR="00D959A2" w:rsidRDefault="00D959A2" w:rsidP="006E58CB">
      <w:pPr>
        <w:keepNext/>
        <w:keepLines/>
        <w:outlineLvl w:val="0"/>
        <w:rPr>
          <w:b/>
        </w:rPr>
      </w:pPr>
      <w:r>
        <w:rPr>
          <w:b/>
        </w:rPr>
        <w:lastRenderedPageBreak/>
        <w:t>III.</w:t>
      </w:r>
      <w:r>
        <w:rPr>
          <w:b/>
        </w:rPr>
        <w:tab/>
        <w:t>COMPLIANCE REQUIREMENTS</w:t>
      </w:r>
    </w:p>
    <w:p w:rsidR="00D959A2" w:rsidRDefault="00D959A2" w:rsidP="006E58CB">
      <w:pPr>
        <w:keepNext/>
        <w:keepLines/>
      </w:pPr>
      <w:r>
        <w:rPr>
          <w:b/>
        </w:rPr>
        <w:t>In developing the audit procedures to test compliance with the requirements for a Federal program, the auditor should first look to Part 2, Matrix of Compliance Requireme</w:t>
      </w:r>
      <w:r w:rsidR="00A87AF1">
        <w:rPr>
          <w:b/>
        </w:rPr>
        <w:t>nts, to identify which of the 12</w:t>
      </w:r>
      <w:r>
        <w:rPr>
          <w:b/>
        </w:rPr>
        <w:t xml:space="preserve"> types of compliance requirements described in Part 3 are applicable and then look to Parts 3 and 4 for the details of the requirements</w:t>
      </w:r>
      <w:r>
        <w:t>.</w:t>
      </w:r>
    </w:p>
    <w:p w:rsidR="00D959A2" w:rsidRDefault="00D959A2" w:rsidP="006E58CB">
      <w:pPr>
        <w:keepNext/>
        <w:keepLines/>
        <w:outlineLvl w:val="0"/>
      </w:pPr>
      <w:r>
        <w:rPr>
          <w:b/>
        </w:rPr>
        <w:t>A.</w:t>
      </w:r>
      <w:r>
        <w:rPr>
          <w:b/>
        </w:rPr>
        <w:tab/>
        <w:t>Activities Allowed or Unallowed</w:t>
      </w:r>
    </w:p>
    <w:p w:rsidR="00D959A2" w:rsidRDefault="00D959A2" w:rsidP="00D959A2">
      <w:pPr>
        <w:keepLines/>
        <w:ind w:left="1440" w:hanging="720"/>
      </w:pPr>
      <w:r>
        <w:t>1.</w:t>
      </w:r>
      <w:r>
        <w:tab/>
        <w:t>Funds may be used to initiate and support programs and research which have substantial scholarly and cultural significance; to insure that the benefit of programs will also be available to citizens where such programs would otherwise be unavailable due to geographic or economic reasons; and to foster education in and public understanding and appreciation of the humanities. (20 USC 956(c)(4), 956(c)(7), and 956(c)(9)).</w:t>
      </w:r>
    </w:p>
    <w:p w:rsidR="00D959A2" w:rsidRDefault="00D959A2" w:rsidP="00D959A2">
      <w:pPr>
        <w:ind w:left="1440" w:hanging="720"/>
      </w:pPr>
      <w:r>
        <w:t>2.</w:t>
      </w:r>
      <w:r>
        <w:tab/>
        <w:t xml:space="preserve">The </w:t>
      </w:r>
      <w:r w:rsidR="00A25A82">
        <w:t>s</w:t>
      </w:r>
      <w:r>
        <w:t>tate humanities councils may regrant funds to organizations (including institutions of higher education and units of State and local governments), groups or persons that form an association to carry out a project, not-for-profit groups (do not have to be incorporated), or individuals.  Regrants may not be made to for-profit organizations (20 USC 956(c)(2), 956(h)(1), and 956(l)).</w:t>
      </w:r>
    </w:p>
    <w:p w:rsidR="00D959A2" w:rsidRDefault="00D959A2" w:rsidP="00D959A2">
      <w:pPr>
        <w:ind w:left="1440" w:hanging="720"/>
      </w:pPr>
      <w:r>
        <w:t>3.</w:t>
      </w:r>
      <w:r>
        <w:tab/>
        <w:t xml:space="preserve">Federal regrant funds must be expended according to the </w:t>
      </w:r>
      <w:r>
        <w:rPr>
          <w:i/>
        </w:rPr>
        <w:t>Summary Budget for the Funding Period</w:t>
      </w:r>
      <w:r>
        <w:t xml:space="preserve"> (</w:t>
      </w:r>
      <w:r>
        <w:rPr>
          <w:i/>
          <w:iCs/>
        </w:rPr>
        <w:t>OMB No. 3136-0134</w:t>
      </w:r>
      <w:r>
        <w:t>) and any amendments as approved by NEH.  Transfers can be made from other categories to regrants, but written permission from the NEH is required to transfer funds from the regrant category.</w:t>
      </w:r>
    </w:p>
    <w:p w:rsidR="00D959A2" w:rsidRDefault="00D959A2" w:rsidP="00D959A2">
      <w:r>
        <w:rPr>
          <w:b/>
        </w:rPr>
        <w:t xml:space="preserve">G. </w:t>
      </w:r>
      <w:r>
        <w:rPr>
          <w:b/>
        </w:rPr>
        <w:tab/>
        <w:t>Matching, Level of Effort, Earmarking</w:t>
      </w:r>
    </w:p>
    <w:p w:rsidR="00D959A2" w:rsidRDefault="00D959A2" w:rsidP="002315C1">
      <w:pPr>
        <w:ind w:left="720"/>
        <w:outlineLvl w:val="0"/>
      </w:pPr>
      <w:r>
        <w:rPr>
          <w:b/>
        </w:rPr>
        <w:t>1.</w:t>
      </w:r>
      <w:r>
        <w:rPr>
          <w:b/>
        </w:rPr>
        <w:tab/>
        <w:t xml:space="preserve">Matching </w:t>
      </w:r>
    </w:p>
    <w:p w:rsidR="00D959A2" w:rsidRDefault="00D959A2" w:rsidP="00D959A2">
      <w:pPr>
        <w:ind w:left="1440"/>
      </w:pPr>
      <w:r>
        <w:t xml:space="preserve">Under this program, </w:t>
      </w:r>
      <w:r w:rsidR="00A25A82">
        <w:t>s</w:t>
      </w:r>
      <w:r>
        <w:t>tate humanities councils receive two</w:t>
      </w:r>
      <w:r w:rsidR="00B4648C">
        <w:t xml:space="preserve"> types of funding from the NEH:  </w:t>
      </w:r>
      <w:r>
        <w:t>Outright Funds and offers to provide Federal Matching Funds.  The amount of each type of funding is identified in the grant award documents.</w:t>
      </w:r>
    </w:p>
    <w:p w:rsidR="00D959A2" w:rsidRDefault="00D959A2" w:rsidP="00D959A2">
      <w:pPr>
        <w:ind w:left="1440"/>
      </w:pPr>
      <w:r>
        <w:t xml:space="preserve">Councils must cost share </w:t>
      </w:r>
      <w:r w:rsidR="006A0379">
        <w:t>the</w:t>
      </w:r>
      <w:r>
        <w:t xml:space="preserve"> Outright Funds on a dollar-for-dollar basis.  Cost </w:t>
      </w:r>
      <w:r w:rsidR="006A0379">
        <w:t>s</w:t>
      </w:r>
      <w:r>
        <w:t xml:space="preserve">haring for Outright Funds may take the form of cash contributions to the councils from any source (including funds from other Federal agencies), program income the councils have earned, unreimbursed allowable costs that a </w:t>
      </w:r>
      <w:r w:rsidR="006A0379">
        <w:t>subrecipient (</w:t>
      </w:r>
      <w:r>
        <w:t>regrantee</w:t>
      </w:r>
      <w:r w:rsidR="006A0379">
        <w:t>)</w:t>
      </w:r>
      <w:r>
        <w:t xml:space="preserve"> incurs in carrying out a council-funded project, </w:t>
      </w:r>
      <w:r w:rsidR="006A0379">
        <w:t xml:space="preserve">and the value of </w:t>
      </w:r>
      <w:r>
        <w:t>in-kind contributions made by third parties.</w:t>
      </w:r>
      <w:r w:rsidR="006A0379">
        <w:t xml:space="preserve">  In-kind contributions may be in the form of charges for real property and equipment or the value of goods and services directly benefiting and specifically identifiable to the project</w:t>
      </w:r>
      <w:r w:rsidR="00284AAE">
        <w:t xml:space="preserve"> (20 USC 956(f)(1))</w:t>
      </w:r>
      <w:r w:rsidR="006A0379">
        <w:t>.</w:t>
      </w:r>
      <w:r>
        <w:t xml:space="preserve"> </w:t>
      </w:r>
    </w:p>
    <w:p w:rsidR="00D959A2" w:rsidRDefault="00D959A2" w:rsidP="006E58CB">
      <w:pPr>
        <w:keepNext/>
        <w:keepLines/>
        <w:ind w:left="1440"/>
      </w:pPr>
      <w:r>
        <w:lastRenderedPageBreak/>
        <w:t xml:space="preserve">Federal Matching Funds must also be matched dollar for dollar.  The NEH releases Federal Matching Funds to a council only upon certification that the council or its regrantee have raised the required amount of eligible third-party cash gifts </w:t>
      </w:r>
      <w:r w:rsidR="00EF73FF">
        <w:t xml:space="preserve">to support grant activities </w:t>
      </w:r>
      <w:r>
        <w:t xml:space="preserve">per the </w:t>
      </w:r>
      <w:r>
        <w:rPr>
          <w:i/>
        </w:rPr>
        <w:t>Matching Funds Certification Letter</w:t>
      </w:r>
      <w:r>
        <w:t xml:space="preserve"> (</w:t>
      </w:r>
      <w:r>
        <w:rPr>
          <w:i/>
          <w:iCs/>
        </w:rPr>
        <w:t>OMB No. 3136-0134</w:t>
      </w:r>
      <w:r>
        <w:t>) and accompanying instructions (20 USC 960(a)(2)(B)).</w:t>
      </w:r>
    </w:p>
    <w:p w:rsidR="00D959A2" w:rsidRDefault="00D959A2" w:rsidP="00D959A2">
      <w:pPr>
        <w:ind w:left="1440"/>
      </w:pPr>
      <w:r>
        <w:t>For those councils covered by the Economic Development of the Territories Act (the Virgin Islands, Guam, American Samoa, and the Commonwealth of Northern Mariana Islands), the matching requirements do not apply to the first $200,000 in Outright Funds (48 USC 1469a(d)).</w:t>
      </w:r>
    </w:p>
    <w:p w:rsidR="00D959A2" w:rsidRDefault="00D959A2" w:rsidP="002315C1">
      <w:pPr>
        <w:ind w:left="720"/>
        <w:outlineLvl w:val="0"/>
      </w:pPr>
      <w:r>
        <w:rPr>
          <w:b/>
        </w:rPr>
        <w:t>2.</w:t>
      </w:r>
      <w:r>
        <w:rPr>
          <w:b/>
        </w:rPr>
        <w:tab/>
        <w:t>Level of Effort</w:t>
      </w:r>
      <w:r>
        <w:t xml:space="preserve"> </w:t>
      </w:r>
      <w:r w:rsidR="00E45178">
        <w:t>–</w:t>
      </w:r>
      <w:r>
        <w:t xml:space="preserve"> Not Applicable</w:t>
      </w:r>
    </w:p>
    <w:p w:rsidR="00D959A2" w:rsidRDefault="00D959A2" w:rsidP="002315C1">
      <w:pPr>
        <w:ind w:left="720"/>
        <w:outlineLvl w:val="0"/>
      </w:pPr>
      <w:r>
        <w:rPr>
          <w:b/>
        </w:rPr>
        <w:t>3.</w:t>
      </w:r>
      <w:r>
        <w:rPr>
          <w:b/>
        </w:rPr>
        <w:tab/>
        <w:t>Earmarking</w:t>
      </w:r>
      <w:r>
        <w:t xml:space="preserve"> </w:t>
      </w:r>
      <w:r w:rsidR="00E45178">
        <w:t>–</w:t>
      </w:r>
      <w:r>
        <w:t xml:space="preserve"> Not Applicable</w:t>
      </w:r>
    </w:p>
    <w:p w:rsidR="00D959A2" w:rsidRDefault="00D959A2" w:rsidP="00D959A2">
      <w:pPr>
        <w:rPr>
          <w:b/>
        </w:rPr>
      </w:pPr>
      <w:r>
        <w:rPr>
          <w:b/>
        </w:rPr>
        <w:t>L.</w:t>
      </w:r>
      <w:r>
        <w:rPr>
          <w:b/>
        </w:rPr>
        <w:tab/>
        <w:t>Reporting</w:t>
      </w:r>
    </w:p>
    <w:p w:rsidR="00D959A2" w:rsidRDefault="00D959A2" w:rsidP="002315C1">
      <w:pPr>
        <w:ind w:left="1440" w:hanging="720"/>
        <w:outlineLvl w:val="0"/>
        <w:rPr>
          <w:b/>
        </w:rPr>
      </w:pPr>
      <w:r>
        <w:rPr>
          <w:b/>
        </w:rPr>
        <w:t>1.</w:t>
      </w:r>
      <w:r>
        <w:rPr>
          <w:b/>
        </w:rPr>
        <w:tab/>
        <w:t>Financial Reporting</w:t>
      </w:r>
    </w:p>
    <w:p w:rsidR="00D959A2" w:rsidRDefault="002270C0" w:rsidP="00D959A2">
      <w:pPr>
        <w:ind w:left="2160" w:hanging="720"/>
      </w:pPr>
      <w:r>
        <w:t>a</w:t>
      </w:r>
      <w:r w:rsidR="00D959A2">
        <w:t>.</w:t>
      </w:r>
      <w:r w:rsidR="00D959A2">
        <w:tab/>
        <w:t xml:space="preserve">SF-270, </w:t>
      </w:r>
      <w:r w:rsidR="00D959A2">
        <w:rPr>
          <w:i/>
        </w:rPr>
        <w:t>Request for Advance or Reimbursement</w:t>
      </w:r>
      <w:r w:rsidR="00D959A2">
        <w:t xml:space="preserve"> </w:t>
      </w:r>
      <w:r w:rsidR="00E45178">
        <w:t>–</w:t>
      </w:r>
      <w:r w:rsidR="00D959A2">
        <w:t xml:space="preserve"> Applicable</w:t>
      </w:r>
    </w:p>
    <w:p w:rsidR="00D959A2" w:rsidRDefault="002270C0" w:rsidP="00D959A2">
      <w:pPr>
        <w:ind w:left="2160" w:hanging="720"/>
      </w:pPr>
      <w:r>
        <w:t>b</w:t>
      </w:r>
      <w:r w:rsidR="00D959A2">
        <w:t>.</w:t>
      </w:r>
      <w:r w:rsidR="00D959A2">
        <w:tab/>
        <w:t xml:space="preserve">SF-271, </w:t>
      </w:r>
      <w:r w:rsidR="00D959A2">
        <w:rPr>
          <w:i/>
        </w:rPr>
        <w:t>Outlay Report and Request for Reimbursement for Construction Programs</w:t>
      </w:r>
      <w:r w:rsidR="00D959A2">
        <w:t xml:space="preserve"> </w:t>
      </w:r>
      <w:r w:rsidR="00E45178">
        <w:t>–</w:t>
      </w:r>
      <w:r w:rsidR="00D959A2">
        <w:t xml:space="preserve"> Not Applicable</w:t>
      </w:r>
    </w:p>
    <w:p w:rsidR="00121C36" w:rsidRDefault="002270C0" w:rsidP="00D959A2">
      <w:pPr>
        <w:ind w:left="2160" w:hanging="720"/>
      </w:pPr>
      <w:r>
        <w:t>c</w:t>
      </w:r>
      <w:r w:rsidR="00121C36">
        <w:t>.</w:t>
      </w:r>
      <w:r w:rsidR="00121C36">
        <w:tab/>
        <w:t xml:space="preserve">SF-425, </w:t>
      </w:r>
      <w:r w:rsidR="00121C36">
        <w:rPr>
          <w:i/>
        </w:rPr>
        <w:t>Federal Financial Report</w:t>
      </w:r>
      <w:r w:rsidR="00121C36">
        <w:t xml:space="preserve"> </w:t>
      </w:r>
      <w:r w:rsidR="005F7680">
        <w:t>–</w:t>
      </w:r>
      <w:r w:rsidR="00121C36">
        <w:t xml:space="preserve"> Applicable</w:t>
      </w:r>
      <w:r w:rsidR="005F7680">
        <w:t xml:space="preserve"> </w:t>
      </w:r>
    </w:p>
    <w:p w:rsidR="00D959A2" w:rsidRDefault="00D959A2" w:rsidP="002315C1">
      <w:pPr>
        <w:ind w:left="720"/>
        <w:outlineLvl w:val="0"/>
      </w:pPr>
      <w:r>
        <w:rPr>
          <w:b/>
        </w:rPr>
        <w:t>2.</w:t>
      </w:r>
      <w:r>
        <w:rPr>
          <w:b/>
        </w:rPr>
        <w:tab/>
        <w:t>Performance Reporting</w:t>
      </w:r>
      <w:r>
        <w:t xml:space="preserve"> </w:t>
      </w:r>
      <w:r w:rsidR="00E45178">
        <w:t>–</w:t>
      </w:r>
      <w:r>
        <w:t xml:space="preserve"> Not Applicable</w:t>
      </w:r>
    </w:p>
    <w:p w:rsidR="00D959A2" w:rsidRDefault="00D959A2" w:rsidP="002315C1">
      <w:pPr>
        <w:ind w:left="1440" w:hanging="720"/>
        <w:outlineLvl w:val="0"/>
      </w:pPr>
      <w:r>
        <w:rPr>
          <w:b/>
        </w:rPr>
        <w:t>3.</w:t>
      </w:r>
      <w:r>
        <w:rPr>
          <w:b/>
        </w:rPr>
        <w:tab/>
        <w:t>Special Reporting</w:t>
      </w:r>
    </w:p>
    <w:p w:rsidR="00D959A2" w:rsidRDefault="00D959A2" w:rsidP="00D959A2">
      <w:pPr>
        <w:ind w:left="1440"/>
      </w:pPr>
      <w:r>
        <w:rPr>
          <w:i/>
        </w:rPr>
        <w:t>Matching Funds Certification Letter</w:t>
      </w:r>
      <w:r>
        <w:t xml:space="preserve"> </w:t>
      </w:r>
      <w:r>
        <w:rPr>
          <w:i/>
        </w:rPr>
        <w:t>(OMB No. 3136-0134)</w:t>
      </w:r>
      <w:r>
        <w:t xml:space="preserve"> </w:t>
      </w:r>
      <w:r w:rsidR="00E45178">
        <w:t>–</w:t>
      </w:r>
      <w:r>
        <w:t xml:space="preserve"> This letter is used to describe and certify the qualification of third-party gifts for the </w:t>
      </w:r>
      <w:r w:rsidR="00E002A4">
        <w:t xml:space="preserve">release of </w:t>
      </w:r>
      <w:r w:rsidR="00D76BC2">
        <w:t xml:space="preserve">Federal </w:t>
      </w:r>
      <w:r>
        <w:t>Matching Funds.</w:t>
      </w:r>
    </w:p>
    <w:sectPr w:rsidR="00D959A2">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14" w:rsidRDefault="00196814">
      <w:r>
        <w:separator/>
      </w:r>
    </w:p>
  </w:endnote>
  <w:endnote w:type="continuationSeparator" w:id="0">
    <w:p w:rsidR="00196814" w:rsidRDefault="0019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71" w:rsidRDefault="00E70671">
    <w:pPr>
      <w:pBdr>
        <w:top w:val="single" w:sz="4" w:space="1" w:color="auto"/>
      </w:pBdr>
      <w:tabs>
        <w:tab w:val="center" w:pos="4680"/>
      </w:tabs>
      <w:rPr>
        <w:sz w:val="18"/>
      </w:rPr>
    </w:pPr>
    <w:r>
      <w:rPr>
        <w:sz w:val="18"/>
      </w:rPr>
      <w:t>Compliance Supplement</w:t>
    </w:r>
    <w:r>
      <w:rPr>
        <w:sz w:val="18"/>
      </w:rPr>
      <w:tab/>
      <w:t>4-45.129-</w:t>
    </w:r>
    <w:r>
      <w:rPr>
        <w:sz w:val="18"/>
      </w:rPr>
      <w:fldChar w:fldCharType="begin"/>
    </w:r>
    <w:r>
      <w:rPr>
        <w:sz w:val="18"/>
      </w:rPr>
      <w:instrText xml:space="preserve">PAGE </w:instrText>
    </w:r>
    <w:r>
      <w:rPr>
        <w:sz w:val="18"/>
      </w:rPr>
      <w:fldChar w:fldCharType="separate"/>
    </w:r>
    <w:r w:rsidR="002F1AA9">
      <w:rPr>
        <w:noProof/>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14" w:rsidRDefault="00196814">
      <w:r>
        <w:separator/>
      </w:r>
    </w:p>
  </w:footnote>
  <w:footnote w:type="continuationSeparator" w:id="0">
    <w:p w:rsidR="00196814" w:rsidRDefault="00196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71" w:rsidRDefault="008138E0">
    <w:pPr>
      <w:pBdr>
        <w:bottom w:val="single" w:sz="4" w:space="1" w:color="auto"/>
      </w:pBdr>
      <w:tabs>
        <w:tab w:val="center" w:pos="4680"/>
        <w:tab w:val="right" w:pos="9360"/>
      </w:tabs>
      <w:rPr>
        <w:sz w:val="18"/>
      </w:rPr>
    </w:pPr>
    <w:r>
      <w:rPr>
        <w:sz w:val="18"/>
      </w:rPr>
      <w:t>June</w:t>
    </w:r>
    <w:r w:rsidR="00A87AF1">
      <w:rPr>
        <w:sz w:val="18"/>
      </w:rPr>
      <w:t xml:space="preserve"> 2015</w:t>
    </w:r>
    <w:r w:rsidR="00E70671">
      <w:rPr>
        <w:sz w:val="18"/>
      </w:rPr>
      <w:tab/>
      <w:t>State Humanities Councils</w:t>
    </w:r>
    <w:r w:rsidR="00E70671">
      <w:rPr>
        <w:sz w:val="18"/>
      </w:rPr>
      <w:tab/>
      <w:t>NEH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CA4"/>
    <w:multiLevelType w:val="hybridMultilevel"/>
    <w:tmpl w:val="45A646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74C278F"/>
    <w:multiLevelType w:val="hybridMultilevel"/>
    <w:tmpl w:val="E2628400"/>
    <w:lvl w:ilvl="0" w:tplc="E75673DA">
      <w:start w:val="1"/>
      <w:numFmt w:val="decimal"/>
      <w:lvlText w:val="(%1)"/>
      <w:lvlJc w:val="left"/>
      <w:pPr>
        <w:tabs>
          <w:tab w:val="num" w:pos="1440"/>
        </w:tabs>
        <w:ind w:left="1440" w:hanging="360"/>
      </w:pPr>
      <w:rPr>
        <w:rFonts w:hint="default"/>
      </w:rPr>
    </w:lvl>
    <w:lvl w:ilvl="1" w:tplc="84D44102">
      <w:start w:val="4"/>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0FB82BF0"/>
    <w:multiLevelType w:val="hybridMultilevel"/>
    <w:tmpl w:val="940AE1FE"/>
    <w:lvl w:ilvl="0" w:tplc="5BDEDE42">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544641"/>
    <w:multiLevelType w:val="hybridMultilevel"/>
    <w:tmpl w:val="0C9C3ABC"/>
    <w:lvl w:ilvl="0" w:tplc="416EA944">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F45449"/>
    <w:multiLevelType w:val="hybridMultilevel"/>
    <w:tmpl w:val="2B8026AE"/>
    <w:lvl w:ilvl="0" w:tplc="04090019">
      <w:start w:val="1"/>
      <w:numFmt w:val="lowerLetter"/>
      <w:lvlText w:val="%1."/>
      <w:lvlJc w:val="left"/>
      <w:pPr>
        <w:tabs>
          <w:tab w:val="num" w:pos="1080"/>
        </w:tabs>
        <w:ind w:left="1080" w:hanging="360"/>
      </w:pPr>
      <w:rPr>
        <w:rFonts w:hint="default"/>
      </w:rPr>
    </w:lvl>
    <w:lvl w:ilvl="1" w:tplc="5BDEDE42">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FAC4613"/>
    <w:multiLevelType w:val="hybridMultilevel"/>
    <w:tmpl w:val="8CC87908"/>
    <w:lvl w:ilvl="0" w:tplc="7D6E78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544744"/>
    <w:multiLevelType w:val="hybridMultilevel"/>
    <w:tmpl w:val="06FA02A6"/>
    <w:lvl w:ilvl="0" w:tplc="D4602508">
      <w:start w:val="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311F51"/>
    <w:multiLevelType w:val="hybridMultilevel"/>
    <w:tmpl w:val="4EBAA496"/>
    <w:lvl w:ilvl="0" w:tplc="5BDEDE4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28EF1A36"/>
    <w:multiLevelType w:val="hybridMultilevel"/>
    <w:tmpl w:val="CFCED2A2"/>
    <w:lvl w:ilvl="0" w:tplc="98B27AEA">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F5F7ECE"/>
    <w:multiLevelType w:val="hybridMultilevel"/>
    <w:tmpl w:val="B9D83486"/>
    <w:lvl w:ilvl="0" w:tplc="314A41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62A2FD3"/>
    <w:multiLevelType w:val="hybridMultilevel"/>
    <w:tmpl w:val="F74EF586"/>
    <w:lvl w:ilvl="0" w:tplc="454A8E84">
      <w:start w:val="1"/>
      <w:numFmt w:val="decimal"/>
      <w:lvlText w:val="(%1)"/>
      <w:lvlJc w:val="left"/>
      <w:pPr>
        <w:tabs>
          <w:tab w:val="num" w:pos="1470"/>
        </w:tabs>
        <w:ind w:left="1470" w:hanging="390"/>
      </w:pPr>
      <w:rPr>
        <w:rFonts w:hint="default"/>
      </w:rPr>
    </w:lvl>
    <w:lvl w:ilvl="1" w:tplc="DAEAE300">
      <w:start w:val="3"/>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0FF43E7"/>
    <w:multiLevelType w:val="hybridMultilevel"/>
    <w:tmpl w:val="169CB194"/>
    <w:lvl w:ilvl="0" w:tplc="FF6431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5210AE"/>
    <w:multiLevelType w:val="hybridMultilevel"/>
    <w:tmpl w:val="1B64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15:restartNumberingAfterBreak="0">
    <w:nsid w:val="4CA810BA"/>
    <w:multiLevelType w:val="hybridMultilevel"/>
    <w:tmpl w:val="7502642C"/>
    <w:lvl w:ilvl="0" w:tplc="09AAF932">
      <w:start w:val="1"/>
      <w:numFmt w:val="decimal"/>
      <w:lvlText w:val="%1."/>
      <w:lvlJc w:val="left"/>
      <w:pPr>
        <w:tabs>
          <w:tab w:val="num" w:pos="1800"/>
        </w:tabs>
        <w:ind w:left="1800" w:hanging="360"/>
      </w:pPr>
      <w:rPr>
        <w:rFonts w:hint="default"/>
      </w:rPr>
    </w:lvl>
    <w:lvl w:ilvl="1" w:tplc="590A299A">
      <w:start w:val="1"/>
      <w:numFmt w:val="lowerLetter"/>
      <w:lvlText w:val="%2."/>
      <w:lvlJc w:val="left"/>
      <w:pPr>
        <w:tabs>
          <w:tab w:val="num" w:pos="3060"/>
        </w:tabs>
        <w:ind w:left="306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26" w15:restartNumberingAfterBreak="0">
    <w:nsid w:val="537F6B34"/>
    <w:multiLevelType w:val="hybridMultilevel"/>
    <w:tmpl w:val="7A24331A"/>
    <w:lvl w:ilvl="0" w:tplc="D7F805D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A85178"/>
    <w:multiLevelType w:val="hybridMultilevel"/>
    <w:tmpl w:val="536A6BC2"/>
    <w:lvl w:ilvl="0" w:tplc="C8CE078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CB01F7B"/>
    <w:multiLevelType w:val="hybridMultilevel"/>
    <w:tmpl w:val="ACDAA6C0"/>
    <w:lvl w:ilvl="0" w:tplc="7D46579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23421"/>
    <w:multiLevelType w:val="hybridMultilevel"/>
    <w:tmpl w:val="6E9A713E"/>
    <w:lvl w:ilvl="0" w:tplc="205483CA">
      <w:start w:val="1"/>
      <w:numFmt w:val="lowerLetter"/>
      <w:lvlText w:val="%1."/>
      <w:lvlJc w:val="left"/>
      <w:pPr>
        <w:tabs>
          <w:tab w:val="num" w:pos="1800"/>
        </w:tabs>
        <w:ind w:left="1800" w:hanging="360"/>
      </w:pPr>
      <w:rPr>
        <w:rFonts w:hint="default"/>
      </w:rPr>
    </w:lvl>
    <w:lvl w:ilvl="1" w:tplc="CC58E0C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3987B6D"/>
    <w:multiLevelType w:val="hybridMultilevel"/>
    <w:tmpl w:val="0C64C6D8"/>
    <w:lvl w:ilvl="0" w:tplc="5B0A0E8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5803391"/>
    <w:multiLevelType w:val="hybridMultilevel"/>
    <w:tmpl w:val="DEB8ED46"/>
    <w:lvl w:ilvl="0" w:tplc="63BED7F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0E14086"/>
    <w:multiLevelType w:val="hybridMultilevel"/>
    <w:tmpl w:val="8F94898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167E5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3658A"/>
    <w:multiLevelType w:val="hybridMultilevel"/>
    <w:tmpl w:val="35B4C8C0"/>
    <w:lvl w:ilvl="0" w:tplc="75BE732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7"/>
  </w:num>
  <w:num w:numId="3">
    <w:abstractNumId w:val="35"/>
  </w:num>
  <w:num w:numId="4">
    <w:abstractNumId w:val="11"/>
  </w:num>
  <w:num w:numId="5">
    <w:abstractNumId w:val="26"/>
  </w:num>
  <w:num w:numId="6">
    <w:abstractNumId w:val="14"/>
  </w:num>
  <w:num w:numId="7">
    <w:abstractNumId w:val="32"/>
  </w:num>
  <w:num w:numId="8">
    <w:abstractNumId w:val="5"/>
  </w:num>
  <w:num w:numId="9">
    <w:abstractNumId w:val="31"/>
  </w:num>
  <w:num w:numId="10">
    <w:abstractNumId w:val="37"/>
  </w:num>
  <w:num w:numId="11">
    <w:abstractNumId w:val="2"/>
  </w:num>
  <w:num w:numId="12">
    <w:abstractNumId w:val="18"/>
  </w:num>
  <w:num w:numId="13">
    <w:abstractNumId w:val="36"/>
  </w:num>
  <w:num w:numId="14">
    <w:abstractNumId w:val="28"/>
  </w:num>
  <w:num w:numId="15">
    <w:abstractNumId w:val="41"/>
  </w:num>
  <w:num w:numId="16">
    <w:abstractNumId w:val="25"/>
  </w:num>
  <w:num w:numId="17">
    <w:abstractNumId w:val="12"/>
  </w:num>
  <w:num w:numId="18">
    <w:abstractNumId w:val="4"/>
  </w:num>
  <w:num w:numId="19">
    <w:abstractNumId w:val="34"/>
  </w:num>
  <w:num w:numId="20">
    <w:abstractNumId w:val="13"/>
  </w:num>
  <w:num w:numId="21">
    <w:abstractNumId w:val="24"/>
  </w:num>
  <w:num w:numId="22">
    <w:abstractNumId w:val="40"/>
  </w:num>
  <w:num w:numId="23">
    <w:abstractNumId w:val="0"/>
  </w:num>
  <w:num w:numId="24">
    <w:abstractNumId w:val="17"/>
  </w:num>
  <w:num w:numId="25">
    <w:abstractNumId w:val="8"/>
  </w:num>
  <w:num w:numId="26">
    <w:abstractNumId w:val="16"/>
  </w:num>
  <w:num w:numId="27">
    <w:abstractNumId w:val="22"/>
  </w:num>
  <w:num w:numId="28">
    <w:abstractNumId w:val="20"/>
  </w:num>
  <w:num w:numId="29">
    <w:abstractNumId w:val="1"/>
  </w:num>
  <w:num w:numId="30">
    <w:abstractNumId w:val="9"/>
  </w:num>
  <w:num w:numId="31">
    <w:abstractNumId w:val="19"/>
  </w:num>
  <w:num w:numId="32">
    <w:abstractNumId w:val="39"/>
  </w:num>
  <w:num w:numId="33">
    <w:abstractNumId w:val="6"/>
  </w:num>
  <w:num w:numId="34">
    <w:abstractNumId w:val="15"/>
  </w:num>
  <w:num w:numId="35">
    <w:abstractNumId w:val="23"/>
  </w:num>
  <w:num w:numId="36">
    <w:abstractNumId w:val="27"/>
  </w:num>
  <w:num w:numId="37">
    <w:abstractNumId w:val="33"/>
  </w:num>
  <w:num w:numId="38">
    <w:abstractNumId w:val="29"/>
  </w:num>
  <w:num w:numId="39">
    <w:abstractNumId w:val="10"/>
  </w:num>
  <w:num w:numId="40">
    <w:abstractNumId w:val="38"/>
  </w:num>
  <w:num w:numId="41">
    <w:abstractNumId w:val="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B3D"/>
    <w:rsid w:val="00005803"/>
    <w:rsid w:val="000108F0"/>
    <w:rsid w:val="00010B7F"/>
    <w:rsid w:val="0002349C"/>
    <w:rsid w:val="00026813"/>
    <w:rsid w:val="00030B8C"/>
    <w:rsid w:val="00033FCC"/>
    <w:rsid w:val="00042717"/>
    <w:rsid w:val="0004439F"/>
    <w:rsid w:val="00050AA4"/>
    <w:rsid w:val="0005516C"/>
    <w:rsid w:val="0006391B"/>
    <w:rsid w:val="00070CE9"/>
    <w:rsid w:val="0007593E"/>
    <w:rsid w:val="00076A95"/>
    <w:rsid w:val="00076D49"/>
    <w:rsid w:val="0008030A"/>
    <w:rsid w:val="000817D6"/>
    <w:rsid w:val="00094B2B"/>
    <w:rsid w:val="00097166"/>
    <w:rsid w:val="000A378E"/>
    <w:rsid w:val="000A561D"/>
    <w:rsid w:val="000B21F1"/>
    <w:rsid w:val="000B3458"/>
    <w:rsid w:val="000B65C3"/>
    <w:rsid w:val="000B68CC"/>
    <w:rsid w:val="000C2A1B"/>
    <w:rsid w:val="000C3B32"/>
    <w:rsid w:val="000C6B10"/>
    <w:rsid w:val="000C6C37"/>
    <w:rsid w:val="000D0D78"/>
    <w:rsid w:val="000D5E26"/>
    <w:rsid w:val="000E1EA0"/>
    <w:rsid w:val="000F2AC6"/>
    <w:rsid w:val="000F5764"/>
    <w:rsid w:val="000F7BC0"/>
    <w:rsid w:val="0010170D"/>
    <w:rsid w:val="001022EB"/>
    <w:rsid w:val="00102537"/>
    <w:rsid w:val="001111B7"/>
    <w:rsid w:val="00117F6B"/>
    <w:rsid w:val="00121C36"/>
    <w:rsid w:val="00124AD0"/>
    <w:rsid w:val="00126C45"/>
    <w:rsid w:val="001310AB"/>
    <w:rsid w:val="001538D6"/>
    <w:rsid w:val="00155642"/>
    <w:rsid w:val="001567DE"/>
    <w:rsid w:val="00163307"/>
    <w:rsid w:val="00164453"/>
    <w:rsid w:val="001647D5"/>
    <w:rsid w:val="00166A41"/>
    <w:rsid w:val="00170071"/>
    <w:rsid w:val="00196814"/>
    <w:rsid w:val="001A1913"/>
    <w:rsid w:val="001A477B"/>
    <w:rsid w:val="001A5406"/>
    <w:rsid w:val="001A5475"/>
    <w:rsid w:val="001B5470"/>
    <w:rsid w:val="001C6682"/>
    <w:rsid w:val="001D1D5E"/>
    <w:rsid w:val="001D3BB8"/>
    <w:rsid w:val="001E1E10"/>
    <w:rsid w:val="001E1F9C"/>
    <w:rsid w:val="001E5D94"/>
    <w:rsid w:val="001E634A"/>
    <w:rsid w:val="001E6DCE"/>
    <w:rsid w:val="001F0579"/>
    <w:rsid w:val="001F508C"/>
    <w:rsid w:val="001F7F17"/>
    <w:rsid w:val="0021028B"/>
    <w:rsid w:val="00222A40"/>
    <w:rsid w:val="002270C0"/>
    <w:rsid w:val="00227183"/>
    <w:rsid w:val="002315C1"/>
    <w:rsid w:val="00231F59"/>
    <w:rsid w:val="00232160"/>
    <w:rsid w:val="002364FF"/>
    <w:rsid w:val="002411A6"/>
    <w:rsid w:val="002416CD"/>
    <w:rsid w:val="00241C83"/>
    <w:rsid w:val="00247C6A"/>
    <w:rsid w:val="0025460F"/>
    <w:rsid w:val="0026346F"/>
    <w:rsid w:val="00266BC8"/>
    <w:rsid w:val="002838BB"/>
    <w:rsid w:val="00284AAE"/>
    <w:rsid w:val="002B1E21"/>
    <w:rsid w:val="002B27CC"/>
    <w:rsid w:val="002B698D"/>
    <w:rsid w:val="002C13EB"/>
    <w:rsid w:val="002C26C5"/>
    <w:rsid w:val="002D1380"/>
    <w:rsid w:val="002D6628"/>
    <w:rsid w:val="002D6A19"/>
    <w:rsid w:val="002E25DA"/>
    <w:rsid w:val="002E55AB"/>
    <w:rsid w:val="002E6B6F"/>
    <w:rsid w:val="002F1AA9"/>
    <w:rsid w:val="002F4B14"/>
    <w:rsid w:val="00300BEB"/>
    <w:rsid w:val="00303CB3"/>
    <w:rsid w:val="00307143"/>
    <w:rsid w:val="003134E5"/>
    <w:rsid w:val="0032140C"/>
    <w:rsid w:val="00323171"/>
    <w:rsid w:val="0032699A"/>
    <w:rsid w:val="00350FD5"/>
    <w:rsid w:val="00351962"/>
    <w:rsid w:val="0035405B"/>
    <w:rsid w:val="0035649A"/>
    <w:rsid w:val="003664E9"/>
    <w:rsid w:val="003839EA"/>
    <w:rsid w:val="00385523"/>
    <w:rsid w:val="00385E07"/>
    <w:rsid w:val="0038625D"/>
    <w:rsid w:val="0039434D"/>
    <w:rsid w:val="003A1B38"/>
    <w:rsid w:val="003A62AD"/>
    <w:rsid w:val="003B6D65"/>
    <w:rsid w:val="003D7C9C"/>
    <w:rsid w:val="003E7FC4"/>
    <w:rsid w:val="003F1A5B"/>
    <w:rsid w:val="003F3C81"/>
    <w:rsid w:val="004001F9"/>
    <w:rsid w:val="004003E8"/>
    <w:rsid w:val="00403CF9"/>
    <w:rsid w:val="0040405D"/>
    <w:rsid w:val="00406E14"/>
    <w:rsid w:val="00410B99"/>
    <w:rsid w:val="004111C0"/>
    <w:rsid w:val="004114FF"/>
    <w:rsid w:val="00420ECC"/>
    <w:rsid w:val="0042262F"/>
    <w:rsid w:val="00423D26"/>
    <w:rsid w:val="004243F7"/>
    <w:rsid w:val="00431749"/>
    <w:rsid w:val="004327BF"/>
    <w:rsid w:val="0043480E"/>
    <w:rsid w:val="00434AE5"/>
    <w:rsid w:val="00440076"/>
    <w:rsid w:val="0044713B"/>
    <w:rsid w:val="00451562"/>
    <w:rsid w:val="00457FDE"/>
    <w:rsid w:val="004609B4"/>
    <w:rsid w:val="00461354"/>
    <w:rsid w:val="004613FC"/>
    <w:rsid w:val="00470DAA"/>
    <w:rsid w:val="00481BB2"/>
    <w:rsid w:val="00482C2B"/>
    <w:rsid w:val="0049738C"/>
    <w:rsid w:val="004A0966"/>
    <w:rsid w:val="004A21E0"/>
    <w:rsid w:val="004B0D62"/>
    <w:rsid w:val="004C24F6"/>
    <w:rsid w:val="004D215A"/>
    <w:rsid w:val="004D72E7"/>
    <w:rsid w:val="004D7449"/>
    <w:rsid w:val="004E0766"/>
    <w:rsid w:val="004E138E"/>
    <w:rsid w:val="004E6303"/>
    <w:rsid w:val="004F1E91"/>
    <w:rsid w:val="004F22E5"/>
    <w:rsid w:val="00504264"/>
    <w:rsid w:val="00505C41"/>
    <w:rsid w:val="0050667B"/>
    <w:rsid w:val="00517499"/>
    <w:rsid w:val="005218AE"/>
    <w:rsid w:val="00522AD9"/>
    <w:rsid w:val="00522B05"/>
    <w:rsid w:val="00523227"/>
    <w:rsid w:val="00525AE1"/>
    <w:rsid w:val="0053030F"/>
    <w:rsid w:val="00532079"/>
    <w:rsid w:val="00533067"/>
    <w:rsid w:val="005335BC"/>
    <w:rsid w:val="00534C88"/>
    <w:rsid w:val="005378E2"/>
    <w:rsid w:val="00542424"/>
    <w:rsid w:val="00542DFF"/>
    <w:rsid w:val="005468A9"/>
    <w:rsid w:val="00551533"/>
    <w:rsid w:val="00553F46"/>
    <w:rsid w:val="00557C2A"/>
    <w:rsid w:val="0056011D"/>
    <w:rsid w:val="005663C2"/>
    <w:rsid w:val="00572EE1"/>
    <w:rsid w:val="005759FF"/>
    <w:rsid w:val="00576C4B"/>
    <w:rsid w:val="00581C42"/>
    <w:rsid w:val="00584057"/>
    <w:rsid w:val="005876C9"/>
    <w:rsid w:val="005919E0"/>
    <w:rsid w:val="00594BFC"/>
    <w:rsid w:val="00594F82"/>
    <w:rsid w:val="005A3185"/>
    <w:rsid w:val="005B1167"/>
    <w:rsid w:val="005B451A"/>
    <w:rsid w:val="005B4995"/>
    <w:rsid w:val="005B5F5B"/>
    <w:rsid w:val="005C5049"/>
    <w:rsid w:val="005C6488"/>
    <w:rsid w:val="005D3C35"/>
    <w:rsid w:val="005D78E8"/>
    <w:rsid w:val="005E0BD5"/>
    <w:rsid w:val="005E4F6A"/>
    <w:rsid w:val="005F2BC5"/>
    <w:rsid w:val="005F6D41"/>
    <w:rsid w:val="005F7680"/>
    <w:rsid w:val="00600358"/>
    <w:rsid w:val="0060045F"/>
    <w:rsid w:val="00600C26"/>
    <w:rsid w:val="00604F0C"/>
    <w:rsid w:val="00606BFC"/>
    <w:rsid w:val="006072E2"/>
    <w:rsid w:val="00613FC6"/>
    <w:rsid w:val="0062346E"/>
    <w:rsid w:val="006406BF"/>
    <w:rsid w:val="006447FF"/>
    <w:rsid w:val="00653248"/>
    <w:rsid w:val="006532D1"/>
    <w:rsid w:val="006542BE"/>
    <w:rsid w:val="0065566E"/>
    <w:rsid w:val="00666C26"/>
    <w:rsid w:val="00673091"/>
    <w:rsid w:val="00673242"/>
    <w:rsid w:val="00676DB2"/>
    <w:rsid w:val="006809C1"/>
    <w:rsid w:val="00685762"/>
    <w:rsid w:val="006909A0"/>
    <w:rsid w:val="00694CE9"/>
    <w:rsid w:val="006A0379"/>
    <w:rsid w:val="006A19AF"/>
    <w:rsid w:val="006B080C"/>
    <w:rsid w:val="006B4A6C"/>
    <w:rsid w:val="006B51AE"/>
    <w:rsid w:val="006B763E"/>
    <w:rsid w:val="006C31F7"/>
    <w:rsid w:val="006C49C1"/>
    <w:rsid w:val="006C5BD6"/>
    <w:rsid w:val="006D087C"/>
    <w:rsid w:val="006D293C"/>
    <w:rsid w:val="006D3B3B"/>
    <w:rsid w:val="006D453E"/>
    <w:rsid w:val="006E3464"/>
    <w:rsid w:val="006E58CB"/>
    <w:rsid w:val="006E62B1"/>
    <w:rsid w:val="006F5B24"/>
    <w:rsid w:val="007002D7"/>
    <w:rsid w:val="0070371A"/>
    <w:rsid w:val="007043E4"/>
    <w:rsid w:val="007159CA"/>
    <w:rsid w:val="00716E03"/>
    <w:rsid w:val="007223F6"/>
    <w:rsid w:val="007238E2"/>
    <w:rsid w:val="0072408F"/>
    <w:rsid w:val="00736585"/>
    <w:rsid w:val="00736DB4"/>
    <w:rsid w:val="00740C02"/>
    <w:rsid w:val="00743D6F"/>
    <w:rsid w:val="00745182"/>
    <w:rsid w:val="007472DF"/>
    <w:rsid w:val="007475E0"/>
    <w:rsid w:val="00753FB6"/>
    <w:rsid w:val="0075583F"/>
    <w:rsid w:val="00763DBC"/>
    <w:rsid w:val="007641F7"/>
    <w:rsid w:val="007643F2"/>
    <w:rsid w:val="007669FD"/>
    <w:rsid w:val="00767B68"/>
    <w:rsid w:val="00784B7C"/>
    <w:rsid w:val="00785EFA"/>
    <w:rsid w:val="00787BE5"/>
    <w:rsid w:val="00792E34"/>
    <w:rsid w:val="00792F9A"/>
    <w:rsid w:val="007A3766"/>
    <w:rsid w:val="007A743D"/>
    <w:rsid w:val="007B0298"/>
    <w:rsid w:val="007B4165"/>
    <w:rsid w:val="007B72EF"/>
    <w:rsid w:val="007C06C8"/>
    <w:rsid w:val="007C0770"/>
    <w:rsid w:val="007C481E"/>
    <w:rsid w:val="007C6869"/>
    <w:rsid w:val="007C7BEE"/>
    <w:rsid w:val="007C7FBC"/>
    <w:rsid w:val="007D269A"/>
    <w:rsid w:val="007D5E33"/>
    <w:rsid w:val="007D7B09"/>
    <w:rsid w:val="007E6B5E"/>
    <w:rsid w:val="007F2BA9"/>
    <w:rsid w:val="007F72A1"/>
    <w:rsid w:val="00804D90"/>
    <w:rsid w:val="00804E23"/>
    <w:rsid w:val="008138E0"/>
    <w:rsid w:val="00815118"/>
    <w:rsid w:val="00815BA0"/>
    <w:rsid w:val="008171BE"/>
    <w:rsid w:val="0082028E"/>
    <w:rsid w:val="008210B0"/>
    <w:rsid w:val="00822BE7"/>
    <w:rsid w:val="008246A9"/>
    <w:rsid w:val="008258E1"/>
    <w:rsid w:val="00832501"/>
    <w:rsid w:val="00833F47"/>
    <w:rsid w:val="00836CAE"/>
    <w:rsid w:val="00843E22"/>
    <w:rsid w:val="00843E8F"/>
    <w:rsid w:val="00846571"/>
    <w:rsid w:val="00862B7B"/>
    <w:rsid w:val="00865F56"/>
    <w:rsid w:val="00866323"/>
    <w:rsid w:val="00873B3D"/>
    <w:rsid w:val="008760D9"/>
    <w:rsid w:val="00877034"/>
    <w:rsid w:val="008827BC"/>
    <w:rsid w:val="008835A9"/>
    <w:rsid w:val="00883F0C"/>
    <w:rsid w:val="008844F4"/>
    <w:rsid w:val="00894779"/>
    <w:rsid w:val="008974A6"/>
    <w:rsid w:val="008A1BE4"/>
    <w:rsid w:val="008A248C"/>
    <w:rsid w:val="008A3ADC"/>
    <w:rsid w:val="008A5896"/>
    <w:rsid w:val="008A6C99"/>
    <w:rsid w:val="008B08F6"/>
    <w:rsid w:val="008B0E5C"/>
    <w:rsid w:val="008B6B43"/>
    <w:rsid w:val="008C166F"/>
    <w:rsid w:val="008C66F2"/>
    <w:rsid w:val="008C73AC"/>
    <w:rsid w:val="008C7FC2"/>
    <w:rsid w:val="008D0350"/>
    <w:rsid w:val="008D71B8"/>
    <w:rsid w:val="008E0532"/>
    <w:rsid w:val="008E09C6"/>
    <w:rsid w:val="008E27E6"/>
    <w:rsid w:val="008E2AFC"/>
    <w:rsid w:val="008E3B35"/>
    <w:rsid w:val="008E5A82"/>
    <w:rsid w:val="008F0F2A"/>
    <w:rsid w:val="008F7F87"/>
    <w:rsid w:val="00902AF8"/>
    <w:rsid w:val="00902F53"/>
    <w:rsid w:val="00904C73"/>
    <w:rsid w:val="00913189"/>
    <w:rsid w:val="00917E29"/>
    <w:rsid w:val="00917FBB"/>
    <w:rsid w:val="00927CCB"/>
    <w:rsid w:val="0093349F"/>
    <w:rsid w:val="00935089"/>
    <w:rsid w:val="00943903"/>
    <w:rsid w:val="00947DEE"/>
    <w:rsid w:val="00955DE7"/>
    <w:rsid w:val="00961148"/>
    <w:rsid w:val="00961879"/>
    <w:rsid w:val="009658AD"/>
    <w:rsid w:val="00973329"/>
    <w:rsid w:val="009761DA"/>
    <w:rsid w:val="00981FB8"/>
    <w:rsid w:val="00990473"/>
    <w:rsid w:val="009904C2"/>
    <w:rsid w:val="00993894"/>
    <w:rsid w:val="009943CA"/>
    <w:rsid w:val="009970BC"/>
    <w:rsid w:val="009A71DB"/>
    <w:rsid w:val="009B1554"/>
    <w:rsid w:val="009B2E38"/>
    <w:rsid w:val="009B3C05"/>
    <w:rsid w:val="009B44F7"/>
    <w:rsid w:val="009D2E6E"/>
    <w:rsid w:val="009D56A3"/>
    <w:rsid w:val="009D7AF3"/>
    <w:rsid w:val="009E07BC"/>
    <w:rsid w:val="009E1AFA"/>
    <w:rsid w:val="009E5459"/>
    <w:rsid w:val="009F479D"/>
    <w:rsid w:val="009F4E03"/>
    <w:rsid w:val="00A12625"/>
    <w:rsid w:val="00A13363"/>
    <w:rsid w:val="00A16680"/>
    <w:rsid w:val="00A21DAE"/>
    <w:rsid w:val="00A22165"/>
    <w:rsid w:val="00A23A85"/>
    <w:rsid w:val="00A25A82"/>
    <w:rsid w:val="00A35AB0"/>
    <w:rsid w:val="00A36626"/>
    <w:rsid w:val="00A377D3"/>
    <w:rsid w:val="00A41142"/>
    <w:rsid w:val="00A546C2"/>
    <w:rsid w:val="00A5648A"/>
    <w:rsid w:val="00A60807"/>
    <w:rsid w:val="00A61857"/>
    <w:rsid w:val="00A7450D"/>
    <w:rsid w:val="00A75126"/>
    <w:rsid w:val="00A7752C"/>
    <w:rsid w:val="00A82894"/>
    <w:rsid w:val="00A85C8C"/>
    <w:rsid w:val="00A87AF1"/>
    <w:rsid w:val="00A95DEA"/>
    <w:rsid w:val="00AA1E17"/>
    <w:rsid w:val="00AA443B"/>
    <w:rsid w:val="00AA51FE"/>
    <w:rsid w:val="00AB1779"/>
    <w:rsid w:val="00AB3427"/>
    <w:rsid w:val="00AB4ABA"/>
    <w:rsid w:val="00AB567F"/>
    <w:rsid w:val="00AB7F28"/>
    <w:rsid w:val="00AC1B65"/>
    <w:rsid w:val="00AC2317"/>
    <w:rsid w:val="00AD0251"/>
    <w:rsid w:val="00AE316F"/>
    <w:rsid w:val="00AF08C3"/>
    <w:rsid w:val="00AF167D"/>
    <w:rsid w:val="00AF234C"/>
    <w:rsid w:val="00AF2A80"/>
    <w:rsid w:val="00AF36B3"/>
    <w:rsid w:val="00AF57C4"/>
    <w:rsid w:val="00AF649D"/>
    <w:rsid w:val="00AF7950"/>
    <w:rsid w:val="00B01A81"/>
    <w:rsid w:val="00B11344"/>
    <w:rsid w:val="00B127F0"/>
    <w:rsid w:val="00B13B3D"/>
    <w:rsid w:val="00B22E9C"/>
    <w:rsid w:val="00B26BB3"/>
    <w:rsid w:val="00B3035B"/>
    <w:rsid w:val="00B30A58"/>
    <w:rsid w:val="00B32A52"/>
    <w:rsid w:val="00B374E5"/>
    <w:rsid w:val="00B4648C"/>
    <w:rsid w:val="00B46D08"/>
    <w:rsid w:val="00B4726A"/>
    <w:rsid w:val="00B5141A"/>
    <w:rsid w:val="00B536FB"/>
    <w:rsid w:val="00B5387E"/>
    <w:rsid w:val="00B54045"/>
    <w:rsid w:val="00B6004E"/>
    <w:rsid w:val="00B670C6"/>
    <w:rsid w:val="00B716B0"/>
    <w:rsid w:val="00B82564"/>
    <w:rsid w:val="00B825E7"/>
    <w:rsid w:val="00B932F7"/>
    <w:rsid w:val="00B96960"/>
    <w:rsid w:val="00BA7641"/>
    <w:rsid w:val="00BC0DA3"/>
    <w:rsid w:val="00BC1ED8"/>
    <w:rsid w:val="00BC6E53"/>
    <w:rsid w:val="00BD0098"/>
    <w:rsid w:val="00BD1C18"/>
    <w:rsid w:val="00BE4C73"/>
    <w:rsid w:val="00BF18B2"/>
    <w:rsid w:val="00BF5EA9"/>
    <w:rsid w:val="00BF6814"/>
    <w:rsid w:val="00C02678"/>
    <w:rsid w:val="00C02725"/>
    <w:rsid w:val="00C06F7E"/>
    <w:rsid w:val="00C0787E"/>
    <w:rsid w:val="00C07C13"/>
    <w:rsid w:val="00C20C5F"/>
    <w:rsid w:val="00C347C4"/>
    <w:rsid w:val="00C539D8"/>
    <w:rsid w:val="00C6267F"/>
    <w:rsid w:val="00C6415B"/>
    <w:rsid w:val="00C70B8C"/>
    <w:rsid w:val="00C7477B"/>
    <w:rsid w:val="00C7716F"/>
    <w:rsid w:val="00C820A0"/>
    <w:rsid w:val="00C86D5F"/>
    <w:rsid w:val="00C9167B"/>
    <w:rsid w:val="00C917A6"/>
    <w:rsid w:val="00C96325"/>
    <w:rsid w:val="00C96FAB"/>
    <w:rsid w:val="00CA1C23"/>
    <w:rsid w:val="00CA2552"/>
    <w:rsid w:val="00CA2C14"/>
    <w:rsid w:val="00CA44C0"/>
    <w:rsid w:val="00CA5BD3"/>
    <w:rsid w:val="00CA6F96"/>
    <w:rsid w:val="00CA722A"/>
    <w:rsid w:val="00CB029B"/>
    <w:rsid w:val="00CB39F9"/>
    <w:rsid w:val="00CC4626"/>
    <w:rsid w:val="00CC7DAF"/>
    <w:rsid w:val="00CD4314"/>
    <w:rsid w:val="00CD7B75"/>
    <w:rsid w:val="00CE11C8"/>
    <w:rsid w:val="00CE6ECC"/>
    <w:rsid w:val="00CF14C8"/>
    <w:rsid w:val="00D051D0"/>
    <w:rsid w:val="00D108C1"/>
    <w:rsid w:val="00D12402"/>
    <w:rsid w:val="00D14587"/>
    <w:rsid w:val="00D161E9"/>
    <w:rsid w:val="00D169DB"/>
    <w:rsid w:val="00D30619"/>
    <w:rsid w:val="00D377F2"/>
    <w:rsid w:val="00D449A8"/>
    <w:rsid w:val="00D46A57"/>
    <w:rsid w:val="00D521BC"/>
    <w:rsid w:val="00D531D2"/>
    <w:rsid w:val="00D5424E"/>
    <w:rsid w:val="00D5557C"/>
    <w:rsid w:val="00D60A8A"/>
    <w:rsid w:val="00D702F6"/>
    <w:rsid w:val="00D746BE"/>
    <w:rsid w:val="00D76BC2"/>
    <w:rsid w:val="00D76FE8"/>
    <w:rsid w:val="00D959A2"/>
    <w:rsid w:val="00D96408"/>
    <w:rsid w:val="00DA2A10"/>
    <w:rsid w:val="00DA69CC"/>
    <w:rsid w:val="00DB1344"/>
    <w:rsid w:val="00DB16D2"/>
    <w:rsid w:val="00DB1E72"/>
    <w:rsid w:val="00DB3F43"/>
    <w:rsid w:val="00DB50A7"/>
    <w:rsid w:val="00DC2579"/>
    <w:rsid w:val="00DC2595"/>
    <w:rsid w:val="00DC4890"/>
    <w:rsid w:val="00DD7EB4"/>
    <w:rsid w:val="00DE20F1"/>
    <w:rsid w:val="00DE633A"/>
    <w:rsid w:val="00DF6271"/>
    <w:rsid w:val="00DF6315"/>
    <w:rsid w:val="00E002A4"/>
    <w:rsid w:val="00E0316A"/>
    <w:rsid w:val="00E032F3"/>
    <w:rsid w:val="00E106AE"/>
    <w:rsid w:val="00E17D15"/>
    <w:rsid w:val="00E20042"/>
    <w:rsid w:val="00E203CC"/>
    <w:rsid w:val="00E275CF"/>
    <w:rsid w:val="00E30D22"/>
    <w:rsid w:val="00E349E1"/>
    <w:rsid w:val="00E357EE"/>
    <w:rsid w:val="00E37895"/>
    <w:rsid w:val="00E413BB"/>
    <w:rsid w:val="00E41C5B"/>
    <w:rsid w:val="00E41EE3"/>
    <w:rsid w:val="00E45178"/>
    <w:rsid w:val="00E4658A"/>
    <w:rsid w:val="00E466B5"/>
    <w:rsid w:val="00E46F59"/>
    <w:rsid w:val="00E52660"/>
    <w:rsid w:val="00E560B5"/>
    <w:rsid w:val="00E61227"/>
    <w:rsid w:val="00E644AF"/>
    <w:rsid w:val="00E67046"/>
    <w:rsid w:val="00E70671"/>
    <w:rsid w:val="00E71A2E"/>
    <w:rsid w:val="00E733A4"/>
    <w:rsid w:val="00E801AF"/>
    <w:rsid w:val="00E90143"/>
    <w:rsid w:val="00E90C52"/>
    <w:rsid w:val="00E927E6"/>
    <w:rsid w:val="00E94B0B"/>
    <w:rsid w:val="00EA39C7"/>
    <w:rsid w:val="00EA51AB"/>
    <w:rsid w:val="00EA65CE"/>
    <w:rsid w:val="00EB2DF5"/>
    <w:rsid w:val="00EB5FEB"/>
    <w:rsid w:val="00EC1097"/>
    <w:rsid w:val="00EC7650"/>
    <w:rsid w:val="00ED0EC6"/>
    <w:rsid w:val="00ED292B"/>
    <w:rsid w:val="00ED3A8A"/>
    <w:rsid w:val="00ED7D72"/>
    <w:rsid w:val="00EE0EF8"/>
    <w:rsid w:val="00EE14DD"/>
    <w:rsid w:val="00EE16D6"/>
    <w:rsid w:val="00EE38A2"/>
    <w:rsid w:val="00EF0606"/>
    <w:rsid w:val="00EF17F1"/>
    <w:rsid w:val="00EF1933"/>
    <w:rsid w:val="00EF4BAB"/>
    <w:rsid w:val="00EF73FF"/>
    <w:rsid w:val="00EF77AB"/>
    <w:rsid w:val="00F02BBA"/>
    <w:rsid w:val="00F02DF8"/>
    <w:rsid w:val="00F06C4B"/>
    <w:rsid w:val="00F13C85"/>
    <w:rsid w:val="00F16C43"/>
    <w:rsid w:val="00F212EE"/>
    <w:rsid w:val="00F26045"/>
    <w:rsid w:val="00F27064"/>
    <w:rsid w:val="00F42350"/>
    <w:rsid w:val="00F440D3"/>
    <w:rsid w:val="00F44D77"/>
    <w:rsid w:val="00F535E2"/>
    <w:rsid w:val="00F53FC5"/>
    <w:rsid w:val="00F61F35"/>
    <w:rsid w:val="00F6649A"/>
    <w:rsid w:val="00F701C5"/>
    <w:rsid w:val="00F7504E"/>
    <w:rsid w:val="00F7668D"/>
    <w:rsid w:val="00F85663"/>
    <w:rsid w:val="00F976FB"/>
    <w:rsid w:val="00FB2D36"/>
    <w:rsid w:val="00FB374C"/>
    <w:rsid w:val="00FB7FC5"/>
    <w:rsid w:val="00FC0319"/>
    <w:rsid w:val="00FC0757"/>
    <w:rsid w:val="00FC4A97"/>
    <w:rsid w:val="00FC5ADA"/>
    <w:rsid w:val="00FC5D9C"/>
    <w:rsid w:val="00FD747A"/>
    <w:rsid w:val="00FE3F04"/>
    <w:rsid w:val="00FE4649"/>
    <w:rsid w:val="00FE5E83"/>
    <w:rsid w:val="00FF0C2D"/>
    <w:rsid w:val="00FF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572846-DD7B-4354-B6FD-EB69EE9D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A"/>
    <w:pPr>
      <w:spacing w:after="240"/>
    </w:pPr>
    <w:rPr>
      <w:sz w:val="24"/>
      <w:szCs w:val="24"/>
    </w:rPr>
  </w:style>
  <w:style w:type="paragraph" w:styleId="Heading1">
    <w:name w:val="heading 1"/>
    <w:basedOn w:val="Normal"/>
    <w:next w:val="Normal"/>
    <w:qFormat/>
    <w:rsid w:val="00600C2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335B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46571"/>
    <w:pPr>
      <w:spacing w:before="240" w:after="60"/>
      <w:outlineLvl w:val="4"/>
    </w:pPr>
    <w:rPr>
      <w:b/>
      <w:bCs/>
      <w:i/>
      <w:iCs/>
      <w:sz w:val="26"/>
      <w:szCs w:val="26"/>
    </w:rPr>
  </w:style>
  <w:style w:type="paragraph" w:styleId="Heading6">
    <w:name w:val="heading 6"/>
    <w:basedOn w:val="Normal"/>
    <w:next w:val="Normal"/>
    <w:qFormat/>
    <w:rsid w:val="005335BC"/>
    <w:pPr>
      <w:keepNext/>
      <w:ind w:left="720"/>
      <w:outlineLvl w:val="5"/>
    </w:pPr>
    <w:rPr>
      <w:i/>
      <w:szCs w:val="20"/>
    </w:rPr>
  </w:style>
  <w:style w:type="paragraph" w:styleId="Heading7">
    <w:name w:val="heading 7"/>
    <w:basedOn w:val="Normal"/>
    <w:next w:val="Normal"/>
    <w:qFormat/>
    <w:rsid w:val="005335BC"/>
    <w:pPr>
      <w:keepNext/>
      <w:tabs>
        <w:tab w:val="left" w:pos="-1440"/>
      </w:tabs>
      <w:outlineLvl w:val="6"/>
    </w:pPr>
    <w:rPr>
      <w:i/>
      <w:iCs/>
      <w:szCs w:val="20"/>
    </w:rPr>
  </w:style>
  <w:style w:type="paragraph" w:styleId="Heading8">
    <w:name w:val="heading 8"/>
    <w:basedOn w:val="Normal"/>
    <w:next w:val="Normal"/>
    <w:qFormat/>
    <w:rsid w:val="005335B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0443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030A"/>
    <w:rPr>
      <w:color w:val="0000FF"/>
      <w:u w:val="single"/>
    </w:rPr>
  </w:style>
  <w:style w:type="paragraph" w:styleId="Header">
    <w:name w:val="header"/>
    <w:basedOn w:val="Normal"/>
    <w:rsid w:val="00740C02"/>
    <w:pPr>
      <w:tabs>
        <w:tab w:val="center" w:pos="4320"/>
        <w:tab w:val="right" w:pos="8640"/>
      </w:tabs>
    </w:pPr>
  </w:style>
  <w:style w:type="paragraph" w:styleId="Footer">
    <w:name w:val="footer"/>
    <w:basedOn w:val="Normal"/>
    <w:rsid w:val="00740C02"/>
    <w:pPr>
      <w:tabs>
        <w:tab w:val="center" w:pos="4320"/>
        <w:tab w:val="right" w:pos="8640"/>
      </w:tabs>
    </w:pPr>
  </w:style>
  <w:style w:type="paragraph" w:styleId="BalloonText">
    <w:name w:val="Balloon Text"/>
    <w:basedOn w:val="Normal"/>
    <w:semiHidden/>
    <w:rsid w:val="00D531D2"/>
    <w:rPr>
      <w:rFonts w:ascii="Tahoma" w:hAnsi="Tahoma" w:cs="Tahoma"/>
      <w:sz w:val="16"/>
      <w:szCs w:val="16"/>
    </w:rPr>
  </w:style>
  <w:style w:type="paragraph" w:styleId="DocumentMap">
    <w:name w:val="Document Map"/>
    <w:basedOn w:val="Normal"/>
    <w:semiHidden/>
    <w:rsid w:val="00943903"/>
    <w:pPr>
      <w:shd w:val="clear" w:color="auto" w:fill="000080"/>
    </w:pPr>
    <w:rPr>
      <w:rFonts w:ascii="Tahoma" w:hAnsi="Tahoma" w:cs="Tahoma"/>
      <w:sz w:val="20"/>
      <w:szCs w:val="20"/>
    </w:rPr>
  </w:style>
  <w:style w:type="character" w:styleId="CommentReference">
    <w:name w:val="annotation reference"/>
    <w:semiHidden/>
    <w:rsid w:val="00B5141A"/>
    <w:rPr>
      <w:sz w:val="16"/>
      <w:szCs w:val="16"/>
    </w:rPr>
  </w:style>
  <w:style w:type="paragraph" w:styleId="CommentText">
    <w:name w:val="annotation text"/>
    <w:basedOn w:val="Normal"/>
    <w:semiHidden/>
    <w:rsid w:val="00B5141A"/>
    <w:rPr>
      <w:sz w:val="20"/>
      <w:szCs w:val="20"/>
    </w:rPr>
  </w:style>
  <w:style w:type="paragraph" w:styleId="CommentSubject">
    <w:name w:val="annotation subject"/>
    <w:basedOn w:val="CommentText"/>
    <w:next w:val="CommentText"/>
    <w:semiHidden/>
    <w:rsid w:val="00B5141A"/>
    <w:rPr>
      <w:b/>
      <w:bCs/>
    </w:rPr>
  </w:style>
  <w:style w:type="paragraph" w:styleId="BodyTextIndent3">
    <w:name w:val="Body Text Indent 3"/>
    <w:basedOn w:val="Normal"/>
    <w:rsid w:val="00102537"/>
    <w:pPr>
      <w:tabs>
        <w:tab w:val="left" w:pos="8460"/>
      </w:tabs>
      <w:autoSpaceDE w:val="0"/>
      <w:autoSpaceDN w:val="0"/>
      <w:adjustRightInd w:val="0"/>
      <w:ind w:left="2340" w:hanging="900"/>
    </w:pPr>
  </w:style>
  <w:style w:type="paragraph" w:customStyle="1" w:styleId="Style">
    <w:name w:val="Style"/>
    <w:basedOn w:val="Normal"/>
    <w:rsid w:val="005B1167"/>
    <w:pPr>
      <w:tabs>
        <w:tab w:val="left" w:pos="-1440"/>
        <w:tab w:val="left" w:pos="1080"/>
      </w:tabs>
      <w:autoSpaceDE w:val="0"/>
      <w:autoSpaceDN w:val="0"/>
      <w:adjustRightInd w:val="0"/>
      <w:spacing w:after="0"/>
      <w:ind w:left="1080" w:hanging="360"/>
    </w:pPr>
  </w:style>
  <w:style w:type="paragraph" w:styleId="BodyTextIndent">
    <w:name w:val="Body Text Indent"/>
    <w:basedOn w:val="Normal"/>
    <w:rsid w:val="005335BC"/>
    <w:pPr>
      <w:spacing w:after="120"/>
      <w:ind w:left="360"/>
    </w:pPr>
  </w:style>
  <w:style w:type="paragraph" w:styleId="BodyTextIndent2">
    <w:name w:val="Body Text Indent 2"/>
    <w:basedOn w:val="Normal"/>
    <w:rsid w:val="005335BC"/>
    <w:pPr>
      <w:spacing w:after="120" w:line="480" w:lineRule="auto"/>
      <w:ind w:left="360"/>
    </w:pPr>
  </w:style>
  <w:style w:type="paragraph" w:styleId="Title">
    <w:name w:val="Title"/>
    <w:basedOn w:val="Normal"/>
    <w:qFormat/>
    <w:rsid w:val="00E41EE3"/>
    <w:pPr>
      <w:autoSpaceDE w:val="0"/>
      <w:autoSpaceDN w:val="0"/>
      <w:adjustRightInd w:val="0"/>
      <w:jc w:val="center"/>
    </w:pPr>
    <w:rPr>
      <w:b/>
      <w:bCs/>
    </w:rPr>
  </w:style>
  <w:style w:type="paragraph" w:customStyle="1" w:styleId="BodyTextIn">
    <w:name w:val="Body Text In"/>
    <w:basedOn w:val="Normal"/>
    <w:rsid w:val="00E41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877034"/>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E3F04"/>
  </w:style>
  <w:style w:type="paragraph" w:styleId="FootnoteText">
    <w:name w:val="footnote text"/>
    <w:basedOn w:val="Normal"/>
    <w:semiHidden/>
    <w:rsid w:val="00FE3F04"/>
    <w:pPr>
      <w:widowControl w:val="0"/>
      <w:autoSpaceDE w:val="0"/>
      <w:autoSpaceDN w:val="0"/>
      <w:adjustRightInd w:val="0"/>
      <w:spacing w:after="0"/>
    </w:pPr>
    <w:rPr>
      <w:sz w:val="20"/>
      <w:szCs w:val="20"/>
    </w:rPr>
  </w:style>
  <w:style w:type="paragraph" w:styleId="PlainText">
    <w:name w:val="Plain Text"/>
    <w:basedOn w:val="Normal"/>
    <w:rsid w:val="00BC0DA3"/>
    <w:pPr>
      <w:spacing w:after="0"/>
    </w:pPr>
    <w:rPr>
      <w:rFonts w:ascii="Courier New" w:hAnsi="Courier New"/>
      <w:sz w:val="20"/>
      <w:szCs w:val="20"/>
    </w:rPr>
  </w:style>
  <w:style w:type="paragraph" w:styleId="HTMLPreformatted">
    <w:name w:val="HTML Preformatted"/>
    <w:basedOn w:val="Normal"/>
    <w:rsid w:val="00BC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BlockText">
    <w:name w:val="Block Text"/>
    <w:basedOn w:val="Normal"/>
    <w:rsid w:val="00E94B0B"/>
    <w:pPr>
      <w:ind w:left="720" w:right="720"/>
    </w:pPr>
  </w:style>
  <w:style w:type="character" w:styleId="FollowedHyperlink">
    <w:name w:val="FollowedHyperlink"/>
    <w:rsid w:val="008F0F2A"/>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4497">
      <w:bodyDiv w:val="1"/>
      <w:marLeft w:val="0"/>
      <w:marRight w:val="0"/>
      <w:marTop w:val="0"/>
      <w:marBottom w:val="0"/>
      <w:divBdr>
        <w:top w:val="none" w:sz="0" w:space="0" w:color="auto"/>
        <w:left w:val="none" w:sz="0" w:space="0" w:color="auto"/>
        <w:bottom w:val="none" w:sz="0" w:space="0" w:color="auto"/>
        <w:right w:val="none" w:sz="0" w:space="0" w:color="auto"/>
      </w:divBdr>
    </w:div>
    <w:div w:id="671371636">
      <w:bodyDiv w:val="1"/>
      <w:marLeft w:val="0"/>
      <w:marRight w:val="0"/>
      <w:marTop w:val="0"/>
      <w:marBottom w:val="0"/>
      <w:divBdr>
        <w:top w:val="none" w:sz="0" w:space="0" w:color="auto"/>
        <w:left w:val="none" w:sz="0" w:space="0" w:color="auto"/>
        <w:bottom w:val="none" w:sz="0" w:space="0" w:color="auto"/>
        <w:right w:val="none" w:sz="0" w:space="0" w:color="auto"/>
      </w:divBdr>
    </w:div>
    <w:div w:id="10202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h.gov/manage/Terms_for_Suppor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h.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h.gov/manage/MatchGuidelinesStateCouncils.html" TargetMode="External"/><Relationship Id="rId4" Type="http://schemas.openxmlformats.org/officeDocument/2006/relationships/webSettings" Target="webSettings.xml"/><Relationship Id="rId9" Type="http://schemas.openxmlformats.org/officeDocument/2006/relationships/hyperlink" Target="http://www.neh.gov/pdf/AddendumGTACs_Oct1_2010_AwardReq.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EDA</Company>
  <LinksUpToDate>false</LinksUpToDate>
  <CharactersWithSpaces>6062</CharactersWithSpaces>
  <SharedDoc>false</SharedDoc>
  <HLinks>
    <vt:vector size="24" baseType="variant">
      <vt:variant>
        <vt:i4>8061036</vt:i4>
      </vt:variant>
      <vt:variant>
        <vt:i4>11</vt:i4>
      </vt:variant>
      <vt:variant>
        <vt:i4>0</vt:i4>
      </vt:variant>
      <vt:variant>
        <vt:i4>5</vt:i4>
      </vt:variant>
      <vt:variant>
        <vt:lpwstr>http://www.neh.gov/manage/MatchGuidelinesStateCouncils.html</vt:lpwstr>
      </vt:variant>
      <vt:variant>
        <vt:lpwstr/>
      </vt:variant>
      <vt:variant>
        <vt:i4>5111848</vt:i4>
      </vt:variant>
      <vt:variant>
        <vt:i4>8</vt:i4>
      </vt:variant>
      <vt:variant>
        <vt:i4>0</vt:i4>
      </vt:variant>
      <vt:variant>
        <vt:i4>5</vt:i4>
      </vt:variant>
      <vt:variant>
        <vt:lpwstr>http://www.neh.gov/pdf/AddendumGTACs_Oct1_2010_AwardReq.pdf</vt:lpwstr>
      </vt:variant>
      <vt:variant>
        <vt:lpwstr/>
      </vt:variant>
      <vt:variant>
        <vt:i4>5308482</vt:i4>
      </vt:variant>
      <vt:variant>
        <vt:i4>5</vt:i4>
      </vt:variant>
      <vt:variant>
        <vt:i4>0</vt:i4>
      </vt:variant>
      <vt:variant>
        <vt:i4>5</vt:i4>
      </vt:variant>
      <vt:variant>
        <vt:lpwstr>http://www.neh.gov/manage/Terms_for_Support.html</vt:lpwstr>
      </vt:variant>
      <vt:variant>
        <vt:lpwstr/>
      </vt:variant>
      <vt:variant>
        <vt:i4>3932276</vt:i4>
      </vt:variant>
      <vt:variant>
        <vt:i4>2</vt:i4>
      </vt:variant>
      <vt:variant>
        <vt:i4>0</vt:i4>
      </vt:variant>
      <vt:variant>
        <vt:i4>5</vt:i4>
      </vt:variant>
      <vt:variant>
        <vt:lpwstr>http://www.neh.gov/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5</cp:revision>
  <cp:lastPrinted>2015-06-30T18:26:00Z</cp:lastPrinted>
  <dcterms:created xsi:type="dcterms:W3CDTF">2015-05-01T15:43:00Z</dcterms:created>
  <dcterms:modified xsi:type="dcterms:W3CDTF">2015-06-30T18:26:00Z</dcterms:modified>
</cp:coreProperties>
</file>